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获证院校名单</w:t>
      </w:r>
      <w:bookmarkStart w:id="0" w:name="_GoBack"/>
      <w:bookmarkEnd w:id="0"/>
    </w:p>
    <w:p>
      <w:pPr>
        <w:ind w:firstLine="0" w:firstLineChars="0"/>
        <w:jc w:val="right"/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28"/>
          <w:szCs w:val="28"/>
          <w:lang w:eastAsia="zh-CN"/>
        </w:rPr>
        <w:t>注：按院校代码排序</w:t>
      </w:r>
    </w:p>
    <w:tbl>
      <w:tblPr>
        <w:tblStyle w:val="2"/>
        <w:tblW w:w="83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70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北京第二外国语学院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北京语言大学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对外经济贸易大学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北京物资学院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石家庄铁道大学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天津城建大学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南京审计大学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上海政法学院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江苏农牧科技职业学院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中国农业科学院研究生院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5FC5"/>
    <w:rsid w:val="56E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2021-05-24T10:08:00Z</dcterms:created>
  <dc:creator>王凡</dc:creator>
  <cp:lastModifiedBy>王凡</cp:lastModifiedBy>
  <dcterms:modified xsi:type="dcterms:W3CDTF">2021-05-24T10:09:14Z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5D29594F392148F0B861297EC50982F3</vt:lpwstr>
  </property>
</Properties>
</file>