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tLeast"/>
        <w:jc w:val="left"/>
        <w:rPr>
          <w:rFonts w:ascii="Goudy Old Style" w:hAnsi="Goudy Old Style" w:eastAsia="仿宋" w:cs="Times New Roman"/>
          <w:b/>
          <w:bCs/>
          <w:sz w:val="32"/>
          <w:szCs w:val="32"/>
        </w:rPr>
      </w:pPr>
      <w:bookmarkStart w:id="0" w:name="_Hlk67043484"/>
      <w:r>
        <w:rPr>
          <w:rFonts w:ascii="Goudy Old Style" w:hAnsi="Goudy Old Style" w:eastAsia="仿宋" w:cs="Times New Roman"/>
          <w:b/>
          <w:bCs/>
          <w:sz w:val="32"/>
          <w:szCs w:val="32"/>
        </w:rPr>
        <w:t>附件1：</w:t>
      </w:r>
    </w:p>
    <w:bookmarkEnd w:id="0"/>
    <w:p>
      <w:pPr>
        <w:adjustRightInd w:val="0"/>
        <w:snapToGrid w:val="0"/>
        <w:spacing w:after="120"/>
        <w:jc w:val="center"/>
        <w:rPr>
          <w:rFonts w:ascii="Goudy Old Style" w:hAnsi="Goudy Old Style" w:eastAsia="华文中宋"/>
          <w:sz w:val="36"/>
          <w:szCs w:val="36"/>
        </w:rPr>
      </w:pPr>
      <w:r>
        <w:rPr>
          <w:rFonts w:hint="eastAsia" w:ascii="Goudy Old Style" w:hAnsi="Goudy Old Style" w:eastAsia="华文中宋"/>
          <w:sz w:val="36"/>
          <w:szCs w:val="36"/>
          <w:lang w:eastAsia="zh-CN"/>
        </w:rPr>
        <w:t>新青年全球胜任力人才培养项目</w:t>
      </w:r>
    </w:p>
    <w:p>
      <w:pPr>
        <w:adjustRightInd w:val="0"/>
        <w:snapToGrid w:val="0"/>
        <w:spacing w:after="120"/>
        <w:jc w:val="center"/>
        <w:rPr>
          <w:rFonts w:ascii="Goudy Old Style" w:hAnsi="Goudy Old Style" w:eastAsia="华文中宋"/>
          <w:b/>
          <w:bCs/>
          <w:spacing w:val="200"/>
          <w:sz w:val="52"/>
          <w:szCs w:val="52"/>
        </w:rPr>
      </w:pPr>
      <w:r>
        <w:rPr>
          <w:rFonts w:ascii="Goudy Old Style" w:hAnsi="Goudy Old Style" w:eastAsia="华文中宋"/>
          <w:b/>
          <w:bCs/>
          <w:spacing w:val="200"/>
          <w:sz w:val="52"/>
          <w:szCs w:val="52"/>
        </w:rPr>
        <w:t>培养方案</w:t>
      </w:r>
    </w:p>
    <w:p>
      <w:pPr>
        <w:pStyle w:val="3"/>
        <w:adjustRightInd w:val="0"/>
        <w:snapToGrid w:val="0"/>
        <w:spacing w:before="0" w:beforeAutospacing="0" w:after="120" w:afterAutospacing="0" w:line="360" w:lineRule="atLeast"/>
        <w:jc w:val="center"/>
        <w:rPr>
          <w:rFonts w:ascii="Goudy Old Style" w:hAnsi="Goudy Old Style" w:eastAsia="宋体" w:cs="宋体"/>
        </w:rPr>
      </w:pPr>
      <w:r>
        <w:rPr>
          <w:rFonts w:ascii="Goudy Old Style" w:hAnsi="Goudy Old Style" w:eastAsia="宋体" w:cs="宋体"/>
        </w:rPr>
        <w:t>（</w:t>
      </w:r>
      <w:r>
        <w:rPr>
          <w:rFonts w:hint="eastAsia" w:ascii="Goudy Old Style" w:hAnsi="Goudy Old Style" w:eastAsia="宋体" w:cs="宋体"/>
          <w:lang w:eastAsia="zh-CN"/>
        </w:rPr>
        <w:t>新青年全球胜任力人才培养项目</w:t>
      </w:r>
      <w:r>
        <w:rPr>
          <w:rFonts w:hint="eastAsia" w:ascii="Goudy Old Style" w:hAnsi="Goudy Old Style" w:eastAsia="宋体" w:cs="宋体"/>
        </w:rPr>
        <w:t>版权所有·</w:t>
      </w:r>
      <w:r>
        <w:rPr>
          <w:rFonts w:ascii="Goudy Old Style" w:hAnsi="Goudy Old Style" w:eastAsia="宋体" w:cs="宋体"/>
        </w:rPr>
        <w:t>2021年）</w:t>
      </w:r>
    </w:p>
    <w:p>
      <w:pPr>
        <w:pStyle w:val="2"/>
        <w:keepNext w:val="0"/>
        <w:keepLines w:val="0"/>
        <w:numPr>
          <w:ilvl w:val="0"/>
          <w:numId w:val="1"/>
        </w:numPr>
        <w:adjustRightInd w:val="0"/>
        <w:snapToGrid w:val="0"/>
        <w:spacing w:before="240" w:after="120" w:line="360" w:lineRule="atLeast"/>
        <w:ind w:left="0"/>
        <w:rPr>
          <w:rFonts w:ascii="Goudy Old Style" w:hAnsi="Goudy Old Style" w:cs="Times New Roman"/>
          <w:color w:val="auto"/>
        </w:rPr>
      </w:pPr>
      <w:r>
        <w:rPr>
          <w:rFonts w:ascii="Goudy Old Style" w:hAnsi="Goudy Old Style" w:cs="Times New Roman"/>
          <w:b/>
          <w:bCs/>
          <w:color w:val="auto"/>
          <w:szCs w:val="28"/>
        </w:rPr>
        <w:t>培养目标</w:t>
      </w:r>
    </w:p>
    <w:p>
      <w:pPr>
        <w:pStyle w:val="3"/>
        <w:adjustRightInd w:val="0"/>
        <w:snapToGrid w:val="0"/>
        <w:spacing w:before="0" w:beforeAutospacing="0" w:after="120" w:afterAutospacing="0" w:line="360" w:lineRule="atLeast"/>
        <w:ind w:firstLine="480" w:firstLineChars="200"/>
        <w:jc w:val="both"/>
        <w:rPr>
          <w:rFonts w:ascii="华文宋体" w:hAnsi="华文宋体" w:eastAsia="华文宋体" w:cs="宋体"/>
        </w:rPr>
      </w:pPr>
      <w:r>
        <w:rPr>
          <w:rFonts w:hint="eastAsia" w:ascii="华文宋体" w:hAnsi="华文宋体" w:eastAsia="华文宋体" w:cs="宋体"/>
          <w:lang w:eastAsia="zh-CN"/>
        </w:rPr>
        <w:t>新青年全球胜任力人才培养项目</w:t>
      </w:r>
      <w:r>
        <w:rPr>
          <w:rFonts w:ascii="华文宋体" w:hAnsi="华文宋体" w:eastAsia="华文宋体" w:cs="宋体"/>
        </w:rPr>
        <w:t>由针对性的系列课程</w:t>
      </w:r>
      <w:r>
        <w:rPr>
          <w:rFonts w:hint="eastAsia" w:ascii="华文宋体" w:hAnsi="华文宋体" w:eastAsia="华文宋体" w:cs="宋体"/>
        </w:rPr>
        <w:t>和实践活动</w:t>
      </w:r>
      <w:r>
        <w:rPr>
          <w:rFonts w:ascii="华文宋体" w:hAnsi="华文宋体" w:eastAsia="华文宋体" w:cs="宋体"/>
        </w:rPr>
        <w:t>组成，旨在培养具有家国情怀、国际视野和跨文化沟通能力的国际化</w:t>
      </w:r>
      <w:r>
        <w:rPr>
          <w:rFonts w:hint="eastAsia" w:ascii="华文宋体" w:hAnsi="华文宋体" w:eastAsia="华文宋体" w:cs="宋体"/>
        </w:rPr>
        <w:t>复合型</w:t>
      </w:r>
      <w:r>
        <w:rPr>
          <w:rFonts w:ascii="华文宋体" w:hAnsi="华文宋体" w:eastAsia="华文宋体" w:cs="宋体"/>
        </w:rPr>
        <w:t>人才，</w:t>
      </w:r>
      <w:r>
        <w:rPr>
          <w:rFonts w:hint="eastAsia" w:ascii="华文宋体" w:hAnsi="华文宋体" w:eastAsia="华文宋体" w:cs="宋体"/>
        </w:rPr>
        <w:t>提升学习者的国际竞争力和在</w:t>
      </w:r>
      <w:r>
        <w:rPr>
          <w:rFonts w:ascii="华文宋体" w:hAnsi="华文宋体" w:eastAsia="华文宋体" w:cs="宋体"/>
        </w:rPr>
        <w:t>国际组织、大型国企、跨国公司、涉外机构、大众传媒</w:t>
      </w:r>
      <w:r>
        <w:rPr>
          <w:rFonts w:hint="eastAsia" w:ascii="华文宋体" w:hAnsi="华文宋体" w:eastAsia="华文宋体" w:cs="宋体"/>
        </w:rPr>
        <w:t>以及</w:t>
      </w:r>
      <w:r>
        <w:rPr>
          <w:rFonts w:ascii="华文宋体" w:hAnsi="华文宋体" w:eastAsia="华文宋体" w:cs="宋体"/>
        </w:rPr>
        <w:t>政府</w:t>
      </w:r>
      <w:r>
        <w:rPr>
          <w:rFonts w:hint="eastAsia" w:ascii="华文宋体" w:hAnsi="华文宋体" w:eastAsia="华文宋体" w:cs="宋体"/>
        </w:rPr>
        <w:t>部门相关岗位的任职和工作能力</w:t>
      </w:r>
      <w:r>
        <w:rPr>
          <w:rFonts w:ascii="华文宋体" w:hAnsi="华文宋体" w:eastAsia="华文宋体" w:cs="宋体"/>
        </w:rPr>
        <w:t>。</w:t>
      </w:r>
    </w:p>
    <w:p>
      <w:pPr>
        <w:pStyle w:val="3"/>
        <w:adjustRightInd w:val="0"/>
        <w:snapToGrid w:val="0"/>
        <w:spacing w:before="0" w:beforeAutospacing="0" w:after="120" w:afterAutospacing="0" w:line="360" w:lineRule="atLeast"/>
        <w:ind w:firstLine="480" w:firstLineChars="200"/>
        <w:jc w:val="both"/>
        <w:rPr>
          <w:rFonts w:ascii="华文宋体" w:hAnsi="华文宋体" w:eastAsia="华文宋体" w:cs="宋体"/>
        </w:rPr>
      </w:pPr>
      <w:r>
        <w:rPr>
          <w:rFonts w:ascii="华文宋体" w:hAnsi="华文宋体" w:eastAsia="华文宋体" w:cs="宋体"/>
        </w:rPr>
        <w:t>项目的具体培养目标包括：</w:t>
      </w:r>
    </w:p>
    <w:p>
      <w:pPr>
        <w:pStyle w:val="3"/>
        <w:numPr>
          <w:ilvl w:val="0"/>
          <w:numId w:val="0"/>
        </w:numPr>
        <w:adjustRightInd w:val="0"/>
        <w:snapToGrid w:val="0"/>
        <w:spacing w:before="0" w:beforeAutospacing="0" w:after="120" w:afterAutospacing="0" w:line="360" w:lineRule="atLeast"/>
        <w:ind w:firstLine="480" w:firstLineChars="200"/>
        <w:jc w:val="both"/>
        <w:rPr>
          <w:rFonts w:ascii="华文宋体" w:hAnsi="华文宋体" w:eastAsia="华文宋体" w:cs="宋体"/>
        </w:rPr>
      </w:pPr>
      <w:r>
        <w:rPr>
          <w:rFonts w:hint="eastAsia" w:ascii="华文宋体" w:hAnsi="华文宋体" w:eastAsia="华文宋体" w:cs="宋体"/>
          <w:lang w:val="en-US" w:eastAsia="zh-CN"/>
        </w:rPr>
        <w:t>1.</w:t>
      </w:r>
      <w:r>
        <w:rPr>
          <w:rFonts w:ascii="华文宋体" w:hAnsi="华文宋体" w:eastAsia="华文宋体" w:cs="宋体"/>
        </w:rPr>
        <w:t>正确深入了解中国改革与发展成就，增强“四个自信”，理解中国故事及其背后的思想力量和精神力量；深化对构建人类命运共同体和“一带一路”倡议的认识，增强人类命运共同体意识。</w:t>
      </w:r>
    </w:p>
    <w:p>
      <w:pPr>
        <w:pStyle w:val="3"/>
        <w:numPr>
          <w:ilvl w:val="0"/>
          <w:numId w:val="0"/>
        </w:numPr>
        <w:adjustRightInd w:val="0"/>
        <w:snapToGrid w:val="0"/>
        <w:spacing w:before="0" w:beforeAutospacing="0" w:after="120" w:afterAutospacing="0" w:line="360" w:lineRule="atLeast"/>
        <w:ind w:firstLine="480" w:firstLineChars="200"/>
        <w:jc w:val="both"/>
        <w:rPr>
          <w:rFonts w:ascii="华文宋体" w:hAnsi="华文宋体" w:eastAsia="华文宋体" w:cs="宋体"/>
        </w:rPr>
      </w:pPr>
      <w:r>
        <w:rPr>
          <w:rFonts w:hint="eastAsia" w:ascii="华文宋体" w:hAnsi="华文宋体" w:eastAsia="华文宋体" w:cs="宋体"/>
          <w:lang w:val="en-US" w:eastAsia="zh-CN"/>
        </w:rPr>
        <w:t>2.</w:t>
      </w:r>
      <w:r>
        <w:rPr>
          <w:rFonts w:ascii="华文宋体" w:hAnsi="华文宋体" w:eastAsia="华文宋体" w:cs="宋体"/>
        </w:rPr>
        <w:t>了解世界人文、经济与社会发展；提升对多边主义和国际合作的认识；了解国际组织；理解全球政治和文化差异；关注并理解能源、环境、健康、安全等全球议题。</w:t>
      </w:r>
    </w:p>
    <w:p>
      <w:pPr>
        <w:pStyle w:val="3"/>
        <w:numPr>
          <w:ilvl w:val="0"/>
          <w:numId w:val="0"/>
        </w:numPr>
        <w:adjustRightInd w:val="0"/>
        <w:snapToGrid w:val="0"/>
        <w:spacing w:before="0" w:beforeAutospacing="0" w:after="120" w:afterAutospacing="0" w:line="360" w:lineRule="atLeast"/>
        <w:ind w:firstLine="480" w:firstLineChars="200"/>
        <w:jc w:val="both"/>
        <w:rPr>
          <w:rFonts w:ascii="华文宋体" w:hAnsi="华文宋体" w:eastAsia="华文宋体" w:cs="宋体"/>
        </w:rPr>
      </w:pPr>
      <w:r>
        <w:rPr>
          <w:rFonts w:hint="eastAsia" w:ascii="华文宋体" w:hAnsi="华文宋体" w:eastAsia="华文宋体" w:cs="宋体"/>
          <w:lang w:val="en-US" w:eastAsia="zh-CN"/>
        </w:rPr>
        <w:t>3.</w:t>
      </w:r>
      <w:r>
        <w:rPr>
          <w:rFonts w:ascii="华文宋体" w:hAnsi="华文宋体" w:eastAsia="华文宋体" w:cs="宋体"/>
        </w:rPr>
        <w:t>学会如何讲好中国故事，传播好中国声音，展示真实、立体、全面的中国；提升学生与不同文化背景的人友好互动的能力；学习如何在国际交往中站稳立场且方式得当；提高在国际交往中化解冲突与矛盾的能力；提高国际学术交流能力；提升自我国际竞争能力。</w:t>
      </w:r>
    </w:p>
    <w:p>
      <w:pPr>
        <w:pStyle w:val="2"/>
        <w:keepNext w:val="0"/>
        <w:keepLines w:val="0"/>
        <w:numPr>
          <w:ilvl w:val="0"/>
          <w:numId w:val="1"/>
        </w:numPr>
        <w:adjustRightInd w:val="0"/>
        <w:snapToGrid w:val="0"/>
        <w:spacing w:before="240" w:after="120" w:line="360" w:lineRule="atLeast"/>
        <w:ind w:left="0"/>
        <w:rPr>
          <w:rFonts w:ascii="Goudy Old Style" w:hAnsi="Goudy Old Style" w:cs="Times New Roman"/>
          <w:b/>
          <w:bCs/>
          <w:color w:val="auto"/>
          <w:szCs w:val="28"/>
        </w:rPr>
      </w:pPr>
      <w:r>
        <w:rPr>
          <w:rFonts w:hint="eastAsia" w:ascii="Goudy Old Style" w:hAnsi="Goudy Old Style" w:cs="Times New Roman"/>
          <w:b/>
          <w:bCs/>
          <w:color w:val="auto"/>
          <w:szCs w:val="28"/>
        </w:rPr>
        <w:t>培养方式</w:t>
      </w:r>
    </w:p>
    <w:p>
      <w:pPr>
        <w:pStyle w:val="3"/>
        <w:adjustRightInd w:val="0"/>
        <w:snapToGrid w:val="0"/>
        <w:spacing w:before="0" w:beforeAutospacing="0" w:after="120" w:afterAutospacing="0" w:line="360" w:lineRule="atLeast"/>
        <w:ind w:firstLine="567"/>
        <w:jc w:val="both"/>
        <w:rPr>
          <w:rFonts w:ascii="华文宋体" w:hAnsi="华文宋体" w:eastAsia="华文宋体" w:cs="宋体"/>
        </w:rPr>
      </w:pPr>
      <w:r>
        <w:rPr>
          <w:rFonts w:hint="eastAsia" w:ascii="华文宋体" w:hAnsi="华文宋体" w:eastAsia="华文宋体" w:cs="宋体"/>
        </w:rPr>
        <w:t>本项目采用“</w:t>
      </w:r>
      <w:r>
        <w:rPr>
          <w:rFonts w:hint="eastAsia" w:ascii="华文宋体" w:hAnsi="华文宋体" w:eastAsia="华文宋体" w:cs="宋体"/>
          <w:lang w:val="en-US" w:eastAsia="zh-CN"/>
        </w:rPr>
        <w:t>理论</w:t>
      </w:r>
      <w:r>
        <w:rPr>
          <w:rFonts w:hint="eastAsia" w:ascii="华文宋体" w:hAnsi="华文宋体" w:eastAsia="华文宋体" w:cs="宋体"/>
        </w:rPr>
        <w:t>+实践”的培养方式</w:t>
      </w:r>
      <w:r>
        <w:rPr>
          <w:rFonts w:hint="eastAsia" w:ascii="华文宋体" w:hAnsi="华文宋体" w:eastAsia="华文宋体" w:cs="宋体"/>
          <w:lang w:eastAsia="zh-CN"/>
        </w:rPr>
        <w:t>，</w:t>
      </w:r>
      <w:r>
        <w:rPr>
          <w:rFonts w:hint="eastAsia" w:ascii="华文宋体" w:hAnsi="华文宋体" w:eastAsia="华文宋体" w:cs="宋体"/>
          <w:lang w:val="en-US" w:eastAsia="zh-CN"/>
        </w:rPr>
        <w:t>包含</w:t>
      </w:r>
      <w:r>
        <w:rPr>
          <w:rFonts w:hint="eastAsia" w:ascii="华文宋体" w:hAnsi="华文宋体" w:eastAsia="华文宋体" w:cs="宋体"/>
        </w:rPr>
        <w:t>选修课程、结合课程主题的系列讲座，以及与课程教学有机衔接的国内外实践活动。选修课程和系列讲座总量约160学时，</w:t>
      </w:r>
      <w:r>
        <w:rPr>
          <w:rFonts w:hint="eastAsia" w:ascii="华文宋体" w:hAnsi="华文宋体" w:eastAsia="华文宋体" w:cs="宋体"/>
          <w:lang w:val="en-US" w:eastAsia="zh-CN"/>
        </w:rPr>
        <w:t>其中</w:t>
      </w:r>
      <w:r>
        <w:rPr>
          <w:rFonts w:hint="eastAsia" w:ascii="华文宋体" w:hAnsi="华文宋体" w:eastAsia="华文宋体" w:cs="宋体"/>
        </w:rPr>
        <w:t>“</w:t>
      </w:r>
      <w:r>
        <w:rPr>
          <w:rFonts w:ascii="华文宋体" w:hAnsi="华文宋体" w:eastAsia="华文宋体" w:cs="宋体"/>
        </w:rPr>
        <w:t>课程</w:t>
      </w:r>
      <w:r>
        <w:rPr>
          <w:rFonts w:hint="eastAsia" w:ascii="华文宋体" w:hAnsi="华文宋体" w:eastAsia="华文宋体" w:cs="宋体"/>
        </w:rPr>
        <w:t>”由“当代中国”“国际理解”和“跨文化沟通”三个模块构成， 学生可根据自身情况灵活选择；“实践”是新青年全球</w:t>
      </w:r>
      <w:r>
        <w:rPr>
          <w:rFonts w:hint="eastAsia" w:ascii="华文宋体" w:hAnsi="华文宋体" w:eastAsia="华文宋体" w:cs="宋体"/>
          <w:lang w:eastAsia="zh-CN"/>
        </w:rPr>
        <w:t>新青年全球胜任力人才培养项目</w:t>
      </w:r>
      <w:r>
        <w:rPr>
          <w:rFonts w:hint="eastAsia" w:ascii="华文宋体" w:hAnsi="华文宋体" w:eastAsia="华文宋体" w:cs="宋体"/>
        </w:rPr>
        <w:t>特设的国内外调研考察、深度参访、研修研学、实习实训等系列活动。</w:t>
      </w:r>
    </w:p>
    <w:p>
      <w:pPr>
        <w:pStyle w:val="3"/>
        <w:numPr>
          <w:ilvl w:val="0"/>
          <w:numId w:val="0"/>
        </w:numPr>
        <w:adjustRightInd w:val="0"/>
        <w:snapToGrid w:val="0"/>
        <w:spacing w:before="0" w:beforeAutospacing="0" w:after="120" w:afterAutospacing="0" w:line="360" w:lineRule="atLeast"/>
        <w:ind w:left="567" w:leftChars="0"/>
        <w:jc w:val="both"/>
        <w:rPr>
          <w:rFonts w:ascii="华文宋体" w:hAnsi="华文宋体" w:eastAsia="华文宋体" w:cs="宋体"/>
        </w:rPr>
      </w:pPr>
      <w:r>
        <w:rPr>
          <w:rFonts w:hint="eastAsia" w:ascii="华文宋体" w:hAnsi="华文宋体" w:eastAsia="华文宋体" w:cs="宋体"/>
          <w:lang w:val="en-US" w:eastAsia="zh-CN"/>
        </w:rPr>
        <w:t>1.</w:t>
      </w:r>
      <w:r>
        <w:rPr>
          <w:rFonts w:hint="eastAsia" w:ascii="华文宋体" w:hAnsi="华文宋体" w:eastAsia="华文宋体" w:cs="宋体"/>
        </w:rPr>
        <w:t>学生可根据自身学习兴趣、学习能力和学习时间选择相关课程与活动。</w:t>
      </w:r>
    </w:p>
    <w:p>
      <w:pPr>
        <w:pStyle w:val="3"/>
        <w:widowControl w:val="0"/>
        <w:numPr>
          <w:ilvl w:val="0"/>
          <w:numId w:val="0"/>
        </w:numPr>
        <w:adjustRightInd w:val="0"/>
        <w:snapToGrid w:val="0"/>
        <w:spacing w:before="0" w:beforeAutospacing="0" w:after="120" w:afterAutospacing="0" w:line="360" w:lineRule="atLeast"/>
        <w:ind w:left="567" w:leftChars="0"/>
        <w:jc w:val="both"/>
        <w:rPr>
          <w:rFonts w:ascii="华文宋体" w:hAnsi="华文宋体" w:eastAsia="华文宋体" w:cs="宋体"/>
        </w:rPr>
      </w:pPr>
      <w:r>
        <w:rPr>
          <w:rFonts w:hint="eastAsia" w:ascii="华文宋体" w:hAnsi="华文宋体" w:eastAsia="华文宋体" w:cs="宋体"/>
          <w:lang w:val="en-US" w:eastAsia="zh-CN"/>
        </w:rPr>
        <w:t>2.</w:t>
      </w:r>
      <w:r>
        <w:rPr>
          <w:rFonts w:ascii="华文宋体" w:hAnsi="华文宋体" w:eastAsia="华文宋体" w:cs="宋体"/>
        </w:rPr>
        <w:t>学生至少需每模块选修一门课程方可获得项目结业证书。</w:t>
      </w:r>
    </w:p>
    <w:p>
      <w:pPr>
        <w:pStyle w:val="3"/>
        <w:numPr>
          <w:ilvl w:val="0"/>
          <w:numId w:val="0"/>
        </w:numPr>
        <w:adjustRightInd w:val="0"/>
        <w:snapToGrid w:val="0"/>
        <w:spacing w:before="0" w:beforeAutospacing="0" w:after="120" w:afterAutospacing="0" w:line="360" w:lineRule="atLeast"/>
        <w:ind w:left="567" w:leftChars="0"/>
        <w:jc w:val="both"/>
        <w:rPr>
          <w:rFonts w:ascii="华文宋体" w:hAnsi="华文宋体" w:eastAsia="华文宋体" w:cs="宋体"/>
        </w:rPr>
      </w:pPr>
      <w:r>
        <w:rPr>
          <w:rFonts w:hint="eastAsia" w:ascii="华文宋体" w:hAnsi="华文宋体" w:eastAsia="华文宋体" w:cs="宋体"/>
          <w:lang w:val="en-US" w:eastAsia="zh-CN"/>
        </w:rPr>
        <w:t>3.</w:t>
      </w:r>
      <w:r>
        <w:rPr>
          <w:rFonts w:ascii="华文宋体" w:hAnsi="华文宋体" w:eastAsia="华文宋体" w:cs="宋体"/>
        </w:rPr>
        <w:t>学校可视情为课程赋予相应学分；部分课程或可与学校已开设课程进行替换。</w:t>
      </w:r>
    </w:p>
    <w:p>
      <w:pPr>
        <w:pStyle w:val="2"/>
        <w:keepNext w:val="0"/>
        <w:keepLines w:val="0"/>
        <w:numPr>
          <w:ilvl w:val="0"/>
          <w:numId w:val="1"/>
        </w:numPr>
        <w:adjustRightInd w:val="0"/>
        <w:snapToGrid w:val="0"/>
        <w:spacing w:before="240" w:after="120" w:line="360" w:lineRule="atLeast"/>
        <w:ind w:left="0"/>
        <w:rPr>
          <w:rFonts w:ascii="Goudy Old Style" w:hAnsi="Goudy Old Style" w:cs="Times New Roman"/>
          <w:b/>
          <w:bCs/>
          <w:color w:val="auto"/>
          <w:szCs w:val="28"/>
        </w:rPr>
      </w:pPr>
      <w:r>
        <w:rPr>
          <w:rFonts w:ascii="Goudy Old Style" w:hAnsi="Goudy Old Style" w:cs="Times New Roman"/>
          <w:b/>
          <w:bCs/>
          <w:color w:val="auto"/>
          <w:szCs w:val="28"/>
        </w:rPr>
        <w:t>授课方式</w:t>
      </w:r>
    </w:p>
    <w:p>
      <w:pPr>
        <w:pStyle w:val="3"/>
        <w:adjustRightInd w:val="0"/>
        <w:snapToGrid w:val="0"/>
        <w:spacing w:before="0" w:beforeAutospacing="0" w:after="120" w:afterAutospacing="0" w:line="360" w:lineRule="atLeast"/>
        <w:ind w:firstLine="480" w:firstLineChars="200"/>
        <w:jc w:val="both"/>
        <w:rPr>
          <w:rFonts w:ascii="华文宋体" w:hAnsi="华文宋体" w:eastAsia="华文宋体" w:cs="宋体"/>
        </w:rPr>
      </w:pPr>
      <w:r>
        <w:rPr>
          <w:rFonts w:ascii="华文宋体" w:hAnsi="华文宋体" w:eastAsia="华文宋体" w:cs="宋体"/>
        </w:rPr>
        <w:t>授课采用</w:t>
      </w:r>
      <w:r>
        <w:rPr>
          <w:rFonts w:hint="eastAsia" w:ascii="华文宋体" w:hAnsi="华文宋体" w:eastAsia="华文宋体" w:cs="宋体"/>
        </w:rPr>
        <w:t>课堂</w:t>
      </w:r>
      <w:r>
        <w:rPr>
          <w:rFonts w:ascii="华文宋体" w:hAnsi="华文宋体" w:eastAsia="华文宋体" w:cs="宋体"/>
        </w:rPr>
        <w:t>面授加在线</w:t>
      </w:r>
      <w:r>
        <w:rPr>
          <w:rFonts w:hint="eastAsia" w:ascii="华文宋体" w:hAnsi="华文宋体" w:eastAsia="华文宋体" w:cs="宋体"/>
        </w:rPr>
        <w:t>教学</w:t>
      </w:r>
      <w:r>
        <w:rPr>
          <w:rFonts w:ascii="华文宋体" w:hAnsi="华文宋体" w:eastAsia="华文宋体" w:cs="宋体"/>
        </w:rPr>
        <w:t>相结合</w:t>
      </w:r>
      <w:r>
        <w:rPr>
          <w:rFonts w:hint="eastAsia" w:ascii="华文宋体" w:hAnsi="华文宋体" w:eastAsia="华文宋体" w:cs="宋体"/>
        </w:rPr>
        <w:t>的方式</w:t>
      </w:r>
      <w:r>
        <w:rPr>
          <w:rFonts w:ascii="华文宋体" w:hAnsi="华文宋体" w:eastAsia="华文宋体" w:cs="宋体"/>
        </w:rPr>
        <w:t>。</w:t>
      </w:r>
    </w:p>
    <w:p>
      <w:pPr>
        <w:pStyle w:val="2"/>
        <w:keepNext w:val="0"/>
        <w:keepLines w:val="0"/>
        <w:numPr>
          <w:ilvl w:val="0"/>
          <w:numId w:val="1"/>
        </w:numPr>
        <w:adjustRightInd w:val="0"/>
        <w:snapToGrid w:val="0"/>
        <w:spacing w:before="240" w:after="120" w:line="360" w:lineRule="atLeast"/>
        <w:ind w:left="0"/>
        <w:rPr>
          <w:rFonts w:ascii="Goudy Old Style" w:hAnsi="Goudy Old Style" w:cs="Times New Roman"/>
          <w:b/>
          <w:bCs/>
          <w:color w:val="auto"/>
          <w:szCs w:val="28"/>
        </w:rPr>
      </w:pPr>
      <w:r>
        <w:rPr>
          <w:rFonts w:ascii="Goudy Old Style" w:hAnsi="Goudy Old Style" w:cs="Times New Roman"/>
          <w:b/>
          <w:bCs/>
          <w:color w:val="auto"/>
          <w:szCs w:val="28"/>
        </w:rPr>
        <w:t>课程设置</w:t>
      </w:r>
    </w:p>
    <w:tbl>
      <w:tblPr>
        <w:tblStyle w:val="4"/>
        <w:tblW w:w="9062" w:type="dxa"/>
        <w:jc w:val="center"/>
        <w:tblLayout w:type="autofit"/>
        <w:tblCellMar>
          <w:top w:w="0" w:type="dxa"/>
          <w:left w:w="108" w:type="dxa"/>
          <w:bottom w:w="0" w:type="dxa"/>
          <w:right w:w="108" w:type="dxa"/>
        </w:tblCellMar>
      </w:tblPr>
      <w:tblGrid>
        <w:gridCol w:w="1571"/>
        <w:gridCol w:w="1276"/>
        <w:gridCol w:w="3827"/>
        <w:gridCol w:w="567"/>
        <w:gridCol w:w="709"/>
        <w:gridCol w:w="1112"/>
      </w:tblGrid>
      <w:tr>
        <w:tblPrEx>
          <w:tblCellMar>
            <w:top w:w="0" w:type="dxa"/>
            <w:left w:w="108" w:type="dxa"/>
            <w:bottom w:w="0" w:type="dxa"/>
            <w:right w:w="108" w:type="dxa"/>
          </w:tblCellMar>
        </w:tblPrEx>
        <w:trPr>
          <w:trHeight w:val="458" w:hRule="atLeast"/>
          <w:jc w:val="center"/>
        </w:trPr>
        <w:tc>
          <w:tcPr>
            <w:tcW w:w="1571" w:type="dxa"/>
            <w:tcBorders>
              <w:top w:val="single" w:color="auto" w:sz="8" w:space="0"/>
              <w:left w:val="single" w:color="auto" w:sz="8" w:space="0"/>
              <w:bottom w:val="single" w:color="000000" w:sz="8" w:space="0"/>
              <w:right w:val="single" w:color="auto" w:sz="8" w:space="0"/>
            </w:tcBorders>
            <w:shd w:val="clear" w:color="auto" w:fill="C5E0B3" w:themeFill="accent6" w:themeFillTint="66"/>
            <w:vAlign w:val="center"/>
          </w:tcPr>
          <w:p>
            <w:pPr>
              <w:widowControl/>
              <w:spacing w:after="0" w:line="240" w:lineRule="auto"/>
              <w:jc w:val="center"/>
              <w:rPr>
                <w:rFonts w:ascii="华文宋体" w:hAnsi="华文宋体" w:eastAsia="华文宋体" w:cs="Times New Roman"/>
                <w:b/>
                <w:bCs/>
                <w:color w:val="000000"/>
                <w:kern w:val="0"/>
                <w:sz w:val="22"/>
              </w:rPr>
            </w:pPr>
            <w:r>
              <w:rPr>
                <w:rFonts w:ascii="华文宋体" w:hAnsi="华文宋体" w:eastAsia="华文宋体" w:cs="宋体"/>
                <w:b/>
                <w:bCs/>
                <w:color w:val="000000"/>
                <w:kern w:val="0"/>
                <w:sz w:val="22"/>
              </w:rPr>
              <w:t>模块</w:t>
            </w:r>
          </w:p>
        </w:tc>
        <w:tc>
          <w:tcPr>
            <w:tcW w:w="1276" w:type="dxa"/>
            <w:tcBorders>
              <w:top w:val="single" w:color="auto" w:sz="8" w:space="0"/>
              <w:left w:val="single" w:color="auto" w:sz="8" w:space="0"/>
              <w:bottom w:val="single" w:color="000000" w:sz="8" w:space="0"/>
              <w:right w:val="single" w:color="auto" w:sz="8" w:space="0"/>
            </w:tcBorders>
            <w:shd w:val="clear" w:color="auto" w:fill="C5E0B3" w:themeFill="accent6" w:themeFillTint="66"/>
            <w:vAlign w:val="center"/>
          </w:tcPr>
          <w:p>
            <w:pPr>
              <w:widowControl/>
              <w:spacing w:after="0" w:line="240" w:lineRule="auto"/>
              <w:jc w:val="center"/>
              <w:rPr>
                <w:rFonts w:ascii="华文宋体" w:hAnsi="华文宋体" w:eastAsia="华文宋体" w:cs="Times New Roman"/>
                <w:b/>
                <w:bCs/>
                <w:color w:val="000000"/>
                <w:kern w:val="0"/>
                <w:sz w:val="22"/>
              </w:rPr>
            </w:pPr>
            <w:r>
              <w:rPr>
                <w:rFonts w:ascii="华文宋体" w:hAnsi="华文宋体" w:eastAsia="华文宋体" w:cs="宋体"/>
                <w:b/>
                <w:bCs/>
                <w:color w:val="000000"/>
                <w:kern w:val="0"/>
                <w:sz w:val="22"/>
              </w:rPr>
              <w:t>课程代码</w:t>
            </w:r>
          </w:p>
        </w:tc>
        <w:tc>
          <w:tcPr>
            <w:tcW w:w="3827" w:type="dxa"/>
            <w:tcBorders>
              <w:top w:val="single" w:color="auto" w:sz="8" w:space="0"/>
              <w:left w:val="single" w:color="auto" w:sz="8" w:space="0"/>
              <w:bottom w:val="single" w:color="000000" w:sz="8" w:space="0"/>
              <w:right w:val="single" w:color="auto" w:sz="8" w:space="0"/>
            </w:tcBorders>
            <w:shd w:val="clear" w:color="auto" w:fill="C5E0B3" w:themeFill="accent6" w:themeFillTint="66"/>
            <w:vAlign w:val="center"/>
          </w:tcPr>
          <w:p>
            <w:pPr>
              <w:widowControl/>
              <w:spacing w:after="0" w:line="240" w:lineRule="auto"/>
              <w:jc w:val="center"/>
              <w:rPr>
                <w:rFonts w:ascii="华文宋体" w:hAnsi="华文宋体" w:eastAsia="华文宋体" w:cs="Times New Roman"/>
                <w:b/>
                <w:bCs/>
                <w:color w:val="000000"/>
                <w:kern w:val="0"/>
                <w:sz w:val="22"/>
              </w:rPr>
            </w:pPr>
            <w:r>
              <w:rPr>
                <w:rFonts w:ascii="华文宋体" w:hAnsi="华文宋体" w:eastAsia="华文宋体" w:cs="宋体"/>
                <w:b/>
                <w:bCs/>
                <w:color w:val="000000"/>
                <w:kern w:val="0"/>
                <w:sz w:val="22"/>
              </w:rPr>
              <w:t>课程名称</w:t>
            </w:r>
          </w:p>
        </w:tc>
        <w:tc>
          <w:tcPr>
            <w:tcW w:w="567" w:type="dxa"/>
            <w:tcBorders>
              <w:top w:val="single" w:color="auto" w:sz="8" w:space="0"/>
              <w:left w:val="single" w:color="auto" w:sz="8" w:space="0"/>
              <w:bottom w:val="single" w:color="000000" w:sz="8" w:space="0"/>
              <w:right w:val="single" w:color="auto" w:sz="8" w:space="0"/>
            </w:tcBorders>
            <w:shd w:val="clear" w:color="auto" w:fill="C5E0B3" w:themeFill="accent6" w:themeFillTint="66"/>
            <w:vAlign w:val="center"/>
          </w:tcPr>
          <w:p>
            <w:pPr>
              <w:widowControl/>
              <w:spacing w:after="0" w:line="240" w:lineRule="auto"/>
              <w:jc w:val="center"/>
              <w:rPr>
                <w:rFonts w:ascii="华文宋体" w:hAnsi="华文宋体" w:eastAsia="华文宋体" w:cs="Times New Roman"/>
                <w:b/>
                <w:bCs/>
                <w:color w:val="000000"/>
                <w:kern w:val="0"/>
                <w:sz w:val="22"/>
              </w:rPr>
            </w:pPr>
            <w:r>
              <w:rPr>
                <w:rFonts w:ascii="华文宋体" w:hAnsi="华文宋体" w:eastAsia="华文宋体" w:cs="宋体"/>
                <w:b/>
                <w:bCs/>
                <w:color w:val="000000"/>
                <w:kern w:val="0"/>
                <w:sz w:val="22"/>
              </w:rPr>
              <w:t>学时</w:t>
            </w:r>
          </w:p>
        </w:tc>
        <w:tc>
          <w:tcPr>
            <w:tcW w:w="709" w:type="dxa"/>
            <w:tcBorders>
              <w:top w:val="single" w:color="auto" w:sz="8" w:space="0"/>
              <w:left w:val="single" w:color="auto" w:sz="8" w:space="0"/>
              <w:bottom w:val="single" w:color="000000" w:sz="8" w:space="0"/>
              <w:right w:val="single" w:color="auto" w:sz="4" w:space="0"/>
            </w:tcBorders>
            <w:shd w:val="clear" w:color="auto" w:fill="C5E0B3" w:themeFill="accent6" w:themeFillTint="66"/>
            <w:vAlign w:val="center"/>
          </w:tcPr>
          <w:p>
            <w:pPr>
              <w:widowControl/>
              <w:spacing w:after="0" w:line="240" w:lineRule="auto"/>
              <w:jc w:val="center"/>
              <w:rPr>
                <w:rFonts w:ascii="华文宋体" w:hAnsi="华文宋体" w:eastAsia="华文宋体" w:cs="Times New Roman"/>
                <w:b/>
                <w:bCs/>
                <w:color w:val="000000"/>
                <w:kern w:val="0"/>
                <w:sz w:val="22"/>
              </w:rPr>
            </w:pPr>
            <w:r>
              <w:rPr>
                <w:rFonts w:ascii="华文宋体" w:hAnsi="华文宋体" w:eastAsia="华文宋体" w:cs="宋体"/>
                <w:b/>
                <w:bCs/>
                <w:color w:val="000000"/>
                <w:kern w:val="0"/>
                <w:sz w:val="22"/>
              </w:rPr>
              <w:t>建议学分</w:t>
            </w:r>
          </w:p>
        </w:tc>
        <w:tc>
          <w:tcPr>
            <w:tcW w:w="1112" w:type="dxa"/>
            <w:tcBorders>
              <w:top w:val="single" w:color="auto" w:sz="4" w:space="0"/>
              <w:left w:val="single" w:color="auto" w:sz="4" w:space="0"/>
              <w:bottom w:val="single" w:color="auto" w:sz="4" w:space="0"/>
              <w:right w:val="single" w:color="auto" w:sz="4" w:space="0"/>
            </w:tcBorders>
            <w:shd w:val="clear" w:color="auto" w:fill="C5E0B3" w:themeFill="accent6" w:themeFillTint="66"/>
            <w:vAlign w:val="center"/>
          </w:tcPr>
          <w:p>
            <w:pPr>
              <w:widowControl/>
              <w:spacing w:after="0" w:line="240" w:lineRule="auto"/>
              <w:jc w:val="center"/>
              <w:rPr>
                <w:rFonts w:ascii="华文宋体" w:hAnsi="华文宋体" w:eastAsia="华文宋体" w:cs="宋体"/>
                <w:b/>
                <w:bCs/>
                <w:color w:val="000000"/>
                <w:kern w:val="0"/>
                <w:sz w:val="22"/>
              </w:rPr>
            </w:pPr>
            <w:r>
              <w:rPr>
                <w:rFonts w:ascii="华文宋体" w:hAnsi="华文宋体" w:eastAsia="华文宋体" w:cs="宋体"/>
                <w:b/>
                <w:bCs/>
                <w:color w:val="000000"/>
                <w:kern w:val="0"/>
                <w:sz w:val="22"/>
              </w:rPr>
              <w:t>备注</w:t>
            </w:r>
          </w:p>
        </w:tc>
      </w:tr>
      <w:tr>
        <w:tblPrEx>
          <w:tblCellMar>
            <w:top w:w="0" w:type="dxa"/>
            <w:left w:w="108" w:type="dxa"/>
            <w:bottom w:w="0" w:type="dxa"/>
            <w:right w:w="108" w:type="dxa"/>
          </w:tblCellMar>
        </w:tblPrEx>
        <w:trPr>
          <w:trHeight w:val="20" w:hRule="atLeast"/>
          <w:jc w:val="center"/>
        </w:trPr>
        <w:tc>
          <w:tcPr>
            <w:tcW w:w="1571" w:type="dxa"/>
            <w:vMerge w:val="restart"/>
            <w:tcBorders>
              <w:top w:val="nil"/>
              <w:left w:val="single" w:color="auto" w:sz="8" w:space="0"/>
              <w:right w:val="single" w:color="auto" w:sz="8" w:space="0"/>
            </w:tcBorders>
            <w:shd w:val="clear" w:color="auto" w:fill="auto"/>
            <w:vAlign w:val="center"/>
          </w:tcPr>
          <w:p>
            <w:pPr>
              <w:widowControl/>
              <w:spacing w:after="0" w:line="240" w:lineRule="auto"/>
              <w:jc w:val="center"/>
              <w:rPr>
                <w:rFonts w:ascii="华文宋体" w:hAnsi="华文宋体" w:eastAsia="华文宋体" w:cs="Times New Roman"/>
                <w:color w:val="000000"/>
                <w:kern w:val="0"/>
                <w:sz w:val="22"/>
              </w:rPr>
            </w:pPr>
            <w:r>
              <w:rPr>
                <w:rFonts w:hint="eastAsia" w:ascii="华文宋体" w:hAnsi="华文宋体" w:eastAsia="华文宋体" w:cs="Times New Roman"/>
                <w:color w:val="000000"/>
                <w:kern w:val="0"/>
                <w:sz w:val="22"/>
              </w:rPr>
              <w:t>（一）</w:t>
            </w:r>
          </w:p>
          <w:p>
            <w:pPr>
              <w:widowControl/>
              <w:spacing w:after="0" w:line="240" w:lineRule="auto"/>
              <w:jc w:val="center"/>
              <w:rPr>
                <w:rFonts w:ascii="华文宋体" w:hAnsi="华文宋体" w:eastAsia="华文宋体" w:cs="Times New Roman"/>
                <w:color w:val="000000"/>
                <w:kern w:val="0"/>
                <w:sz w:val="22"/>
              </w:rPr>
            </w:pPr>
            <w:r>
              <w:rPr>
                <w:rFonts w:hint="eastAsia" w:ascii="华文宋体" w:hAnsi="华文宋体" w:eastAsia="华文宋体" w:cs="Times New Roman"/>
                <w:color w:val="000000"/>
                <w:kern w:val="0"/>
                <w:sz w:val="22"/>
              </w:rPr>
              <w:t>当代中国</w:t>
            </w:r>
          </w:p>
        </w:tc>
        <w:tc>
          <w:tcPr>
            <w:tcW w:w="1276" w:type="dxa"/>
            <w:tcBorders>
              <w:top w:val="nil"/>
              <w:left w:val="nil"/>
              <w:bottom w:val="single" w:color="auto" w:sz="8" w:space="0"/>
              <w:right w:val="single" w:color="auto" w:sz="8" w:space="0"/>
            </w:tcBorders>
            <w:shd w:val="clear" w:color="auto" w:fill="auto"/>
            <w:vAlign w:val="center"/>
          </w:tcPr>
          <w:p>
            <w:pPr>
              <w:widowControl/>
              <w:spacing w:after="0" w:line="240" w:lineRule="auto"/>
              <w:jc w:val="center"/>
              <w:rPr>
                <w:rFonts w:ascii="华文宋体" w:hAnsi="华文宋体" w:eastAsia="华文宋体" w:cs="Times New Roman"/>
                <w:color w:val="000000"/>
                <w:kern w:val="0"/>
                <w:sz w:val="22"/>
              </w:rPr>
            </w:pPr>
            <w:r>
              <w:rPr>
                <w:rFonts w:ascii="华文宋体" w:hAnsi="华文宋体" w:eastAsia="华文宋体" w:cs="Times New Roman"/>
                <w:color w:val="000000"/>
                <w:kern w:val="0"/>
                <w:sz w:val="22"/>
              </w:rPr>
              <w:t>GCC-101</w:t>
            </w:r>
          </w:p>
        </w:tc>
        <w:tc>
          <w:tcPr>
            <w:tcW w:w="3827" w:type="dxa"/>
            <w:tcBorders>
              <w:top w:val="nil"/>
              <w:left w:val="nil"/>
              <w:bottom w:val="single" w:color="auto" w:sz="8" w:space="0"/>
              <w:right w:val="single" w:color="auto" w:sz="8" w:space="0"/>
            </w:tcBorders>
            <w:shd w:val="clear" w:color="auto" w:fill="auto"/>
            <w:vAlign w:val="center"/>
          </w:tcPr>
          <w:p>
            <w:pPr>
              <w:widowControl/>
              <w:spacing w:after="0" w:line="240" w:lineRule="auto"/>
              <w:jc w:val="center"/>
              <w:rPr>
                <w:rFonts w:ascii="华文宋体" w:hAnsi="华文宋体" w:eastAsia="华文宋体" w:cs="Times New Roman"/>
                <w:color w:val="000000"/>
                <w:kern w:val="0"/>
                <w:sz w:val="22"/>
              </w:rPr>
            </w:pPr>
            <w:r>
              <w:rPr>
                <w:rFonts w:ascii="华文宋体" w:hAnsi="华文宋体" w:eastAsia="华文宋体" w:cs="宋体"/>
                <w:color w:val="000000"/>
                <w:kern w:val="0"/>
                <w:sz w:val="22"/>
              </w:rPr>
              <w:t>中国在人类命运共同体中的角色研究</w:t>
            </w:r>
          </w:p>
        </w:tc>
        <w:tc>
          <w:tcPr>
            <w:tcW w:w="567" w:type="dxa"/>
            <w:tcBorders>
              <w:top w:val="nil"/>
              <w:left w:val="nil"/>
              <w:bottom w:val="single" w:color="auto" w:sz="8" w:space="0"/>
              <w:right w:val="single" w:color="auto" w:sz="8" w:space="0"/>
            </w:tcBorders>
            <w:shd w:val="clear" w:color="auto" w:fill="auto"/>
            <w:vAlign w:val="center"/>
          </w:tcPr>
          <w:p>
            <w:pPr>
              <w:widowControl/>
              <w:spacing w:after="0" w:line="240" w:lineRule="auto"/>
              <w:jc w:val="center"/>
              <w:rPr>
                <w:rFonts w:ascii="华文宋体" w:hAnsi="华文宋体" w:eastAsia="华文宋体" w:cs="Times New Roman"/>
                <w:color w:val="000000"/>
                <w:kern w:val="0"/>
                <w:sz w:val="22"/>
              </w:rPr>
            </w:pPr>
            <w:r>
              <w:rPr>
                <w:rFonts w:ascii="华文宋体" w:hAnsi="华文宋体" w:eastAsia="华文宋体" w:cs="Times New Roman"/>
                <w:color w:val="000000"/>
                <w:kern w:val="0"/>
                <w:sz w:val="22"/>
              </w:rPr>
              <w:t>16</w:t>
            </w:r>
          </w:p>
        </w:tc>
        <w:tc>
          <w:tcPr>
            <w:tcW w:w="709" w:type="dxa"/>
            <w:tcBorders>
              <w:top w:val="nil"/>
              <w:left w:val="nil"/>
              <w:bottom w:val="single" w:color="auto" w:sz="8" w:space="0"/>
              <w:right w:val="single" w:color="auto" w:sz="8" w:space="0"/>
            </w:tcBorders>
            <w:shd w:val="clear" w:color="auto" w:fill="auto"/>
            <w:vAlign w:val="center"/>
          </w:tcPr>
          <w:p>
            <w:pPr>
              <w:widowControl/>
              <w:spacing w:after="0" w:line="240" w:lineRule="auto"/>
              <w:jc w:val="center"/>
              <w:rPr>
                <w:rFonts w:ascii="华文宋体" w:hAnsi="华文宋体" w:eastAsia="华文宋体" w:cs="Times New Roman"/>
                <w:color w:val="000000"/>
                <w:kern w:val="0"/>
                <w:sz w:val="22"/>
              </w:rPr>
            </w:pPr>
            <w:r>
              <w:rPr>
                <w:rFonts w:ascii="华文宋体" w:hAnsi="华文宋体" w:eastAsia="华文宋体" w:cs="Times New Roman"/>
                <w:color w:val="000000"/>
                <w:kern w:val="0"/>
                <w:sz w:val="22"/>
              </w:rPr>
              <w:t>1</w:t>
            </w:r>
          </w:p>
        </w:tc>
        <w:tc>
          <w:tcPr>
            <w:tcW w:w="1112" w:type="dxa"/>
            <w:tcBorders>
              <w:top w:val="single" w:color="auto" w:sz="4" w:space="0"/>
              <w:left w:val="nil"/>
              <w:bottom w:val="single" w:color="auto" w:sz="8" w:space="0"/>
              <w:right w:val="single" w:color="auto" w:sz="8" w:space="0"/>
            </w:tcBorders>
            <w:vAlign w:val="center"/>
          </w:tcPr>
          <w:p>
            <w:pPr>
              <w:widowControl/>
              <w:spacing w:after="0" w:line="240" w:lineRule="auto"/>
              <w:jc w:val="center"/>
              <w:rPr>
                <w:rFonts w:ascii="华文宋体" w:hAnsi="华文宋体" w:eastAsia="华文宋体" w:cs="Times New Roman"/>
                <w:color w:val="000000"/>
                <w:kern w:val="0"/>
                <w:sz w:val="22"/>
              </w:rPr>
            </w:pPr>
          </w:p>
        </w:tc>
      </w:tr>
      <w:tr>
        <w:tblPrEx>
          <w:tblCellMar>
            <w:top w:w="0" w:type="dxa"/>
            <w:left w:w="108" w:type="dxa"/>
            <w:bottom w:w="0" w:type="dxa"/>
            <w:right w:w="108" w:type="dxa"/>
          </w:tblCellMar>
        </w:tblPrEx>
        <w:trPr>
          <w:trHeight w:val="20" w:hRule="atLeast"/>
          <w:jc w:val="center"/>
        </w:trPr>
        <w:tc>
          <w:tcPr>
            <w:tcW w:w="1571" w:type="dxa"/>
            <w:vMerge w:val="continue"/>
            <w:tcBorders>
              <w:left w:val="single" w:color="auto" w:sz="8" w:space="0"/>
              <w:right w:val="single" w:color="auto" w:sz="8" w:space="0"/>
            </w:tcBorders>
            <w:shd w:val="clear" w:color="auto" w:fill="auto"/>
            <w:vAlign w:val="center"/>
          </w:tcPr>
          <w:p>
            <w:pPr>
              <w:widowControl/>
              <w:spacing w:after="0" w:line="240" w:lineRule="auto"/>
              <w:jc w:val="center"/>
              <w:rPr>
                <w:rFonts w:ascii="华文宋体" w:hAnsi="华文宋体" w:eastAsia="华文宋体" w:cs="Times New Roman"/>
                <w:color w:val="000000"/>
                <w:kern w:val="0"/>
                <w:sz w:val="22"/>
              </w:rPr>
            </w:pPr>
          </w:p>
        </w:tc>
        <w:tc>
          <w:tcPr>
            <w:tcW w:w="1276" w:type="dxa"/>
            <w:tcBorders>
              <w:top w:val="nil"/>
              <w:left w:val="nil"/>
              <w:bottom w:val="single" w:color="auto" w:sz="8" w:space="0"/>
              <w:right w:val="single" w:color="auto" w:sz="8" w:space="0"/>
            </w:tcBorders>
            <w:shd w:val="clear" w:color="auto" w:fill="auto"/>
            <w:vAlign w:val="center"/>
          </w:tcPr>
          <w:p>
            <w:pPr>
              <w:widowControl/>
              <w:spacing w:after="0" w:line="240" w:lineRule="auto"/>
              <w:jc w:val="center"/>
              <w:rPr>
                <w:rFonts w:ascii="华文宋体" w:hAnsi="华文宋体" w:eastAsia="华文宋体" w:cs="Times New Roman"/>
                <w:color w:val="000000"/>
                <w:kern w:val="0"/>
                <w:sz w:val="22"/>
              </w:rPr>
            </w:pPr>
            <w:r>
              <w:rPr>
                <w:rFonts w:ascii="华文宋体" w:hAnsi="华文宋体" w:eastAsia="华文宋体" w:cs="Times New Roman"/>
                <w:color w:val="000000"/>
                <w:kern w:val="0"/>
                <w:sz w:val="22"/>
              </w:rPr>
              <w:t>GCC-102</w:t>
            </w:r>
          </w:p>
        </w:tc>
        <w:tc>
          <w:tcPr>
            <w:tcW w:w="3827" w:type="dxa"/>
            <w:tcBorders>
              <w:top w:val="nil"/>
              <w:left w:val="nil"/>
              <w:bottom w:val="single" w:color="auto" w:sz="8" w:space="0"/>
              <w:right w:val="single" w:color="auto" w:sz="8" w:space="0"/>
            </w:tcBorders>
            <w:shd w:val="clear" w:color="auto" w:fill="auto"/>
            <w:vAlign w:val="center"/>
          </w:tcPr>
          <w:p>
            <w:pPr>
              <w:widowControl/>
              <w:spacing w:after="0" w:line="240" w:lineRule="auto"/>
              <w:jc w:val="center"/>
              <w:rPr>
                <w:rFonts w:ascii="华文宋体" w:hAnsi="华文宋体" w:eastAsia="华文宋体" w:cs="Times New Roman"/>
                <w:color w:val="000000"/>
                <w:kern w:val="0"/>
                <w:sz w:val="22"/>
              </w:rPr>
            </w:pPr>
            <w:r>
              <w:rPr>
                <w:rFonts w:ascii="华文宋体" w:hAnsi="华文宋体" w:eastAsia="华文宋体" w:cs="宋体"/>
                <w:color w:val="000000"/>
                <w:kern w:val="0"/>
                <w:sz w:val="22"/>
              </w:rPr>
              <w:t>全球治理的中国方案</w:t>
            </w:r>
          </w:p>
        </w:tc>
        <w:tc>
          <w:tcPr>
            <w:tcW w:w="567" w:type="dxa"/>
            <w:tcBorders>
              <w:top w:val="nil"/>
              <w:left w:val="nil"/>
              <w:bottom w:val="single" w:color="auto" w:sz="8" w:space="0"/>
              <w:right w:val="single" w:color="auto" w:sz="8" w:space="0"/>
            </w:tcBorders>
            <w:shd w:val="clear" w:color="auto" w:fill="auto"/>
            <w:vAlign w:val="center"/>
          </w:tcPr>
          <w:p>
            <w:pPr>
              <w:widowControl/>
              <w:spacing w:after="0" w:line="240" w:lineRule="auto"/>
              <w:jc w:val="center"/>
              <w:rPr>
                <w:rFonts w:ascii="华文宋体" w:hAnsi="华文宋体" w:eastAsia="华文宋体" w:cs="Times New Roman"/>
                <w:color w:val="000000"/>
                <w:kern w:val="0"/>
                <w:sz w:val="22"/>
              </w:rPr>
            </w:pPr>
            <w:r>
              <w:rPr>
                <w:rFonts w:ascii="华文宋体" w:hAnsi="华文宋体" w:eastAsia="华文宋体" w:cs="Times New Roman"/>
                <w:color w:val="000000"/>
                <w:kern w:val="0"/>
                <w:sz w:val="22"/>
              </w:rPr>
              <w:t>16</w:t>
            </w:r>
          </w:p>
        </w:tc>
        <w:tc>
          <w:tcPr>
            <w:tcW w:w="709" w:type="dxa"/>
            <w:tcBorders>
              <w:top w:val="nil"/>
              <w:left w:val="nil"/>
              <w:bottom w:val="single" w:color="auto" w:sz="8" w:space="0"/>
              <w:right w:val="single" w:color="auto" w:sz="8" w:space="0"/>
            </w:tcBorders>
            <w:shd w:val="clear" w:color="auto" w:fill="auto"/>
            <w:vAlign w:val="center"/>
          </w:tcPr>
          <w:p>
            <w:pPr>
              <w:widowControl/>
              <w:spacing w:after="0" w:line="240" w:lineRule="auto"/>
              <w:jc w:val="center"/>
              <w:rPr>
                <w:rFonts w:ascii="华文宋体" w:hAnsi="华文宋体" w:eastAsia="华文宋体" w:cs="Times New Roman"/>
                <w:color w:val="000000"/>
                <w:kern w:val="0"/>
                <w:sz w:val="22"/>
              </w:rPr>
            </w:pPr>
            <w:r>
              <w:rPr>
                <w:rFonts w:ascii="华文宋体" w:hAnsi="华文宋体" w:eastAsia="华文宋体" w:cs="Times New Roman"/>
                <w:color w:val="000000"/>
                <w:kern w:val="0"/>
                <w:sz w:val="22"/>
              </w:rPr>
              <w:t>1</w:t>
            </w:r>
          </w:p>
        </w:tc>
        <w:tc>
          <w:tcPr>
            <w:tcW w:w="1112" w:type="dxa"/>
            <w:tcBorders>
              <w:top w:val="nil"/>
              <w:left w:val="nil"/>
              <w:bottom w:val="single" w:color="auto" w:sz="8" w:space="0"/>
              <w:right w:val="single" w:color="auto" w:sz="8" w:space="0"/>
            </w:tcBorders>
            <w:vAlign w:val="center"/>
          </w:tcPr>
          <w:p>
            <w:pPr>
              <w:widowControl/>
              <w:spacing w:after="0" w:line="240" w:lineRule="auto"/>
              <w:jc w:val="center"/>
              <w:rPr>
                <w:rFonts w:ascii="华文宋体" w:hAnsi="华文宋体" w:eastAsia="华文宋体" w:cs="Times New Roman"/>
                <w:color w:val="000000"/>
                <w:kern w:val="0"/>
                <w:sz w:val="22"/>
              </w:rPr>
            </w:pPr>
          </w:p>
        </w:tc>
      </w:tr>
      <w:tr>
        <w:tblPrEx>
          <w:tblCellMar>
            <w:top w:w="0" w:type="dxa"/>
            <w:left w:w="108" w:type="dxa"/>
            <w:bottom w:w="0" w:type="dxa"/>
            <w:right w:w="108" w:type="dxa"/>
          </w:tblCellMar>
        </w:tblPrEx>
        <w:trPr>
          <w:trHeight w:val="20" w:hRule="atLeast"/>
          <w:jc w:val="center"/>
        </w:trPr>
        <w:tc>
          <w:tcPr>
            <w:tcW w:w="1571" w:type="dxa"/>
            <w:vMerge w:val="continue"/>
            <w:tcBorders>
              <w:left w:val="single" w:color="auto" w:sz="8" w:space="0"/>
              <w:bottom w:val="single" w:color="000000" w:sz="8" w:space="0"/>
              <w:right w:val="single" w:color="auto" w:sz="8" w:space="0"/>
            </w:tcBorders>
            <w:shd w:val="clear" w:color="auto" w:fill="auto"/>
            <w:vAlign w:val="center"/>
          </w:tcPr>
          <w:p>
            <w:pPr>
              <w:widowControl/>
              <w:spacing w:after="0" w:line="240" w:lineRule="auto"/>
              <w:jc w:val="center"/>
              <w:rPr>
                <w:rFonts w:ascii="华文宋体" w:hAnsi="华文宋体" w:eastAsia="华文宋体" w:cs="Times New Roman"/>
                <w:color w:val="000000"/>
                <w:kern w:val="0"/>
                <w:sz w:val="22"/>
              </w:rPr>
            </w:pPr>
          </w:p>
        </w:tc>
        <w:tc>
          <w:tcPr>
            <w:tcW w:w="1276" w:type="dxa"/>
            <w:tcBorders>
              <w:top w:val="nil"/>
              <w:left w:val="nil"/>
              <w:bottom w:val="single" w:color="auto" w:sz="8" w:space="0"/>
              <w:right w:val="single" w:color="auto" w:sz="8" w:space="0"/>
            </w:tcBorders>
            <w:shd w:val="clear" w:color="auto" w:fill="auto"/>
            <w:vAlign w:val="center"/>
          </w:tcPr>
          <w:p>
            <w:pPr>
              <w:widowControl/>
              <w:spacing w:after="0" w:line="240" w:lineRule="auto"/>
              <w:jc w:val="center"/>
              <w:rPr>
                <w:rFonts w:ascii="华文宋体" w:hAnsi="华文宋体" w:eastAsia="华文宋体" w:cs="Times New Roman"/>
                <w:color w:val="000000"/>
                <w:kern w:val="0"/>
                <w:sz w:val="22"/>
              </w:rPr>
            </w:pPr>
            <w:r>
              <w:rPr>
                <w:rFonts w:ascii="华文宋体" w:hAnsi="华文宋体" w:eastAsia="华文宋体" w:cs="Times New Roman"/>
                <w:color w:val="000000"/>
                <w:kern w:val="0"/>
                <w:sz w:val="22"/>
              </w:rPr>
              <w:t>GCC-103</w:t>
            </w:r>
          </w:p>
        </w:tc>
        <w:tc>
          <w:tcPr>
            <w:tcW w:w="3827" w:type="dxa"/>
            <w:tcBorders>
              <w:top w:val="nil"/>
              <w:left w:val="nil"/>
              <w:bottom w:val="single" w:color="auto" w:sz="8" w:space="0"/>
              <w:right w:val="single" w:color="auto" w:sz="8" w:space="0"/>
            </w:tcBorders>
            <w:shd w:val="clear" w:color="auto" w:fill="auto"/>
            <w:vAlign w:val="center"/>
          </w:tcPr>
          <w:p>
            <w:pPr>
              <w:widowControl/>
              <w:spacing w:after="0" w:line="240" w:lineRule="auto"/>
              <w:jc w:val="center"/>
              <w:rPr>
                <w:rFonts w:ascii="华文宋体" w:hAnsi="华文宋体" w:eastAsia="华文宋体" w:cs="Times New Roman"/>
                <w:color w:val="000000"/>
                <w:kern w:val="0"/>
                <w:sz w:val="22"/>
              </w:rPr>
            </w:pPr>
            <w:r>
              <w:rPr>
                <w:rFonts w:ascii="华文宋体" w:hAnsi="华文宋体" w:eastAsia="华文宋体" w:cs="宋体"/>
                <w:color w:val="000000"/>
                <w:kern w:val="0"/>
                <w:sz w:val="22"/>
              </w:rPr>
              <w:t>一带一路与中华文化国际传播</w:t>
            </w:r>
          </w:p>
        </w:tc>
        <w:tc>
          <w:tcPr>
            <w:tcW w:w="567" w:type="dxa"/>
            <w:tcBorders>
              <w:top w:val="nil"/>
              <w:left w:val="nil"/>
              <w:bottom w:val="single" w:color="auto" w:sz="8" w:space="0"/>
              <w:right w:val="single" w:color="auto" w:sz="8" w:space="0"/>
            </w:tcBorders>
            <w:shd w:val="clear" w:color="auto" w:fill="auto"/>
            <w:vAlign w:val="center"/>
          </w:tcPr>
          <w:p>
            <w:pPr>
              <w:widowControl/>
              <w:spacing w:after="0" w:line="240" w:lineRule="auto"/>
              <w:jc w:val="center"/>
              <w:rPr>
                <w:rFonts w:ascii="华文宋体" w:hAnsi="华文宋体" w:eastAsia="华文宋体" w:cs="Times New Roman"/>
                <w:color w:val="000000"/>
                <w:kern w:val="0"/>
                <w:sz w:val="22"/>
              </w:rPr>
            </w:pPr>
            <w:r>
              <w:rPr>
                <w:rFonts w:ascii="华文宋体" w:hAnsi="华文宋体" w:eastAsia="华文宋体" w:cs="Times New Roman"/>
                <w:color w:val="000000"/>
                <w:kern w:val="0"/>
                <w:sz w:val="22"/>
              </w:rPr>
              <w:t>16</w:t>
            </w:r>
          </w:p>
        </w:tc>
        <w:tc>
          <w:tcPr>
            <w:tcW w:w="709" w:type="dxa"/>
            <w:tcBorders>
              <w:top w:val="nil"/>
              <w:left w:val="nil"/>
              <w:bottom w:val="single" w:color="auto" w:sz="8" w:space="0"/>
              <w:right w:val="single" w:color="auto" w:sz="8" w:space="0"/>
            </w:tcBorders>
            <w:shd w:val="clear" w:color="auto" w:fill="auto"/>
            <w:vAlign w:val="center"/>
          </w:tcPr>
          <w:p>
            <w:pPr>
              <w:widowControl/>
              <w:spacing w:after="0" w:line="240" w:lineRule="auto"/>
              <w:jc w:val="center"/>
              <w:rPr>
                <w:rFonts w:ascii="华文宋体" w:hAnsi="华文宋体" w:eastAsia="华文宋体" w:cs="Times New Roman"/>
                <w:color w:val="000000"/>
                <w:kern w:val="0"/>
                <w:sz w:val="22"/>
              </w:rPr>
            </w:pPr>
            <w:r>
              <w:rPr>
                <w:rFonts w:ascii="华文宋体" w:hAnsi="华文宋体" w:eastAsia="华文宋体" w:cs="Times New Roman"/>
                <w:color w:val="000000"/>
                <w:kern w:val="0"/>
                <w:sz w:val="22"/>
              </w:rPr>
              <w:t>1</w:t>
            </w:r>
          </w:p>
        </w:tc>
        <w:tc>
          <w:tcPr>
            <w:tcW w:w="1112" w:type="dxa"/>
            <w:tcBorders>
              <w:top w:val="nil"/>
              <w:left w:val="nil"/>
              <w:bottom w:val="single" w:color="auto" w:sz="8" w:space="0"/>
              <w:right w:val="single" w:color="auto" w:sz="8" w:space="0"/>
            </w:tcBorders>
            <w:vAlign w:val="center"/>
          </w:tcPr>
          <w:p>
            <w:pPr>
              <w:widowControl/>
              <w:spacing w:after="0" w:line="240" w:lineRule="auto"/>
              <w:jc w:val="center"/>
              <w:rPr>
                <w:rFonts w:ascii="华文宋体" w:hAnsi="华文宋体" w:eastAsia="华文宋体" w:cs="Times New Roman"/>
                <w:color w:val="000000"/>
                <w:kern w:val="0"/>
                <w:sz w:val="22"/>
              </w:rPr>
            </w:pPr>
          </w:p>
        </w:tc>
      </w:tr>
      <w:tr>
        <w:tblPrEx>
          <w:tblCellMar>
            <w:top w:w="0" w:type="dxa"/>
            <w:left w:w="108" w:type="dxa"/>
            <w:bottom w:w="0" w:type="dxa"/>
            <w:right w:w="108" w:type="dxa"/>
          </w:tblCellMar>
        </w:tblPrEx>
        <w:trPr>
          <w:trHeight w:val="20" w:hRule="atLeast"/>
          <w:jc w:val="center"/>
        </w:trPr>
        <w:tc>
          <w:tcPr>
            <w:tcW w:w="1571" w:type="dxa"/>
            <w:vMerge w:val="restart"/>
            <w:tcBorders>
              <w:top w:val="nil"/>
              <w:left w:val="single" w:color="auto" w:sz="8" w:space="0"/>
              <w:right w:val="single" w:color="auto" w:sz="8" w:space="0"/>
            </w:tcBorders>
            <w:shd w:val="clear" w:color="auto" w:fill="F1F1F1" w:themeFill="background1" w:themeFillShade="F2"/>
            <w:vAlign w:val="center"/>
          </w:tcPr>
          <w:p>
            <w:pPr>
              <w:widowControl/>
              <w:spacing w:after="0" w:line="240" w:lineRule="auto"/>
              <w:jc w:val="center"/>
              <w:rPr>
                <w:rFonts w:ascii="华文宋体" w:hAnsi="华文宋体" w:eastAsia="华文宋体" w:cs="Times New Roman"/>
                <w:kern w:val="0"/>
                <w:sz w:val="22"/>
              </w:rPr>
            </w:pPr>
            <w:r>
              <w:rPr>
                <w:rFonts w:hint="eastAsia" w:ascii="华文宋体" w:hAnsi="华文宋体" w:eastAsia="华文宋体" w:cs="Times New Roman"/>
                <w:kern w:val="0"/>
                <w:sz w:val="22"/>
              </w:rPr>
              <w:t>（二）</w:t>
            </w:r>
          </w:p>
          <w:p>
            <w:pPr>
              <w:widowControl/>
              <w:spacing w:after="0" w:line="240" w:lineRule="auto"/>
              <w:jc w:val="center"/>
              <w:rPr>
                <w:rFonts w:ascii="华文宋体" w:hAnsi="华文宋体" w:eastAsia="华文宋体" w:cs="Times New Roman"/>
                <w:kern w:val="0"/>
                <w:sz w:val="22"/>
              </w:rPr>
            </w:pPr>
            <w:r>
              <w:rPr>
                <w:rFonts w:hint="eastAsia" w:ascii="华文宋体" w:hAnsi="华文宋体" w:eastAsia="华文宋体" w:cs="Times New Roman"/>
                <w:kern w:val="0"/>
                <w:sz w:val="22"/>
              </w:rPr>
              <w:t>国际理解</w:t>
            </w:r>
          </w:p>
        </w:tc>
        <w:tc>
          <w:tcPr>
            <w:tcW w:w="1276" w:type="dxa"/>
            <w:tcBorders>
              <w:top w:val="nil"/>
              <w:left w:val="nil"/>
              <w:bottom w:val="single" w:color="auto" w:sz="8" w:space="0"/>
              <w:right w:val="single" w:color="auto" w:sz="8" w:space="0"/>
            </w:tcBorders>
            <w:shd w:val="clear" w:color="auto" w:fill="F1F1F1" w:themeFill="background1" w:themeFillShade="F2"/>
            <w:vAlign w:val="center"/>
          </w:tcPr>
          <w:p>
            <w:pPr>
              <w:widowControl/>
              <w:spacing w:after="0" w:line="240" w:lineRule="auto"/>
              <w:jc w:val="center"/>
              <w:rPr>
                <w:rFonts w:ascii="华文宋体" w:hAnsi="华文宋体" w:eastAsia="华文宋体" w:cs="Times New Roman"/>
                <w:kern w:val="0"/>
                <w:sz w:val="22"/>
              </w:rPr>
            </w:pPr>
            <w:r>
              <w:rPr>
                <w:rFonts w:ascii="华文宋体" w:hAnsi="华文宋体" w:eastAsia="华文宋体" w:cs="Times New Roman"/>
                <w:kern w:val="0"/>
                <w:sz w:val="22"/>
              </w:rPr>
              <w:t>GCC-201</w:t>
            </w:r>
          </w:p>
        </w:tc>
        <w:tc>
          <w:tcPr>
            <w:tcW w:w="3827" w:type="dxa"/>
            <w:tcBorders>
              <w:top w:val="single" w:color="auto" w:sz="4" w:space="0"/>
              <w:left w:val="nil"/>
              <w:bottom w:val="single" w:color="auto" w:sz="8" w:space="0"/>
              <w:right w:val="single" w:color="auto" w:sz="8" w:space="0"/>
            </w:tcBorders>
            <w:shd w:val="clear" w:color="auto" w:fill="F1F1F1" w:themeFill="background1" w:themeFillShade="F2"/>
            <w:vAlign w:val="center"/>
          </w:tcPr>
          <w:p>
            <w:pPr>
              <w:widowControl/>
              <w:spacing w:after="0" w:line="240" w:lineRule="auto"/>
              <w:jc w:val="center"/>
              <w:rPr>
                <w:rFonts w:ascii="华文宋体" w:hAnsi="华文宋体" w:eastAsia="华文宋体" w:cs="Times New Roman"/>
                <w:kern w:val="0"/>
                <w:sz w:val="22"/>
              </w:rPr>
            </w:pPr>
            <w:r>
              <w:rPr>
                <w:rFonts w:ascii="华文宋体" w:hAnsi="华文宋体" w:eastAsia="华文宋体" w:cs="宋体"/>
                <w:kern w:val="0"/>
                <w:sz w:val="22"/>
              </w:rPr>
              <w:t>国际组织与全球治理</w:t>
            </w:r>
          </w:p>
        </w:tc>
        <w:tc>
          <w:tcPr>
            <w:tcW w:w="567" w:type="dxa"/>
            <w:tcBorders>
              <w:top w:val="nil"/>
              <w:left w:val="nil"/>
              <w:bottom w:val="single" w:color="auto" w:sz="8" w:space="0"/>
              <w:right w:val="single" w:color="auto" w:sz="8" w:space="0"/>
            </w:tcBorders>
            <w:shd w:val="clear" w:color="auto" w:fill="F1F1F1" w:themeFill="background1" w:themeFillShade="F2"/>
            <w:vAlign w:val="center"/>
          </w:tcPr>
          <w:p>
            <w:pPr>
              <w:widowControl/>
              <w:spacing w:after="0" w:line="240" w:lineRule="auto"/>
              <w:jc w:val="center"/>
              <w:rPr>
                <w:rFonts w:ascii="华文宋体" w:hAnsi="华文宋体" w:eastAsia="华文宋体" w:cs="Times New Roman"/>
                <w:kern w:val="0"/>
                <w:sz w:val="22"/>
              </w:rPr>
            </w:pPr>
            <w:r>
              <w:rPr>
                <w:rFonts w:ascii="华文宋体" w:hAnsi="华文宋体" w:eastAsia="华文宋体" w:cs="Times New Roman"/>
                <w:kern w:val="0"/>
                <w:sz w:val="22"/>
              </w:rPr>
              <w:t>16</w:t>
            </w:r>
          </w:p>
        </w:tc>
        <w:tc>
          <w:tcPr>
            <w:tcW w:w="709" w:type="dxa"/>
            <w:tcBorders>
              <w:top w:val="nil"/>
              <w:left w:val="nil"/>
              <w:bottom w:val="single" w:color="auto" w:sz="8" w:space="0"/>
              <w:right w:val="single" w:color="auto" w:sz="8" w:space="0"/>
            </w:tcBorders>
            <w:shd w:val="clear" w:color="auto" w:fill="F1F1F1" w:themeFill="background1" w:themeFillShade="F2"/>
            <w:vAlign w:val="center"/>
          </w:tcPr>
          <w:p>
            <w:pPr>
              <w:widowControl/>
              <w:spacing w:after="0" w:line="240" w:lineRule="auto"/>
              <w:jc w:val="center"/>
              <w:rPr>
                <w:rFonts w:ascii="华文宋体" w:hAnsi="华文宋体" w:eastAsia="华文宋体" w:cs="Times New Roman"/>
                <w:kern w:val="0"/>
                <w:sz w:val="22"/>
              </w:rPr>
            </w:pPr>
            <w:r>
              <w:rPr>
                <w:rFonts w:ascii="华文宋体" w:hAnsi="华文宋体" w:eastAsia="华文宋体" w:cs="Times New Roman"/>
                <w:kern w:val="0"/>
                <w:sz w:val="22"/>
              </w:rPr>
              <w:t>1</w:t>
            </w:r>
          </w:p>
        </w:tc>
        <w:tc>
          <w:tcPr>
            <w:tcW w:w="1112" w:type="dxa"/>
            <w:tcBorders>
              <w:top w:val="nil"/>
              <w:left w:val="nil"/>
              <w:bottom w:val="single" w:color="auto" w:sz="8" w:space="0"/>
              <w:right w:val="single" w:color="auto" w:sz="8" w:space="0"/>
            </w:tcBorders>
            <w:shd w:val="clear" w:color="auto" w:fill="F1F1F1" w:themeFill="background1" w:themeFillShade="F2"/>
            <w:vAlign w:val="center"/>
          </w:tcPr>
          <w:p>
            <w:pPr>
              <w:widowControl/>
              <w:spacing w:after="0" w:line="240" w:lineRule="auto"/>
              <w:jc w:val="center"/>
              <w:rPr>
                <w:rFonts w:ascii="华文宋体" w:hAnsi="华文宋体" w:eastAsia="华文宋体" w:cs="Times New Roman"/>
                <w:kern w:val="0"/>
                <w:sz w:val="22"/>
              </w:rPr>
            </w:pPr>
          </w:p>
        </w:tc>
      </w:tr>
      <w:tr>
        <w:tblPrEx>
          <w:tblCellMar>
            <w:top w:w="0" w:type="dxa"/>
            <w:left w:w="108" w:type="dxa"/>
            <w:bottom w:w="0" w:type="dxa"/>
            <w:right w:w="108" w:type="dxa"/>
          </w:tblCellMar>
        </w:tblPrEx>
        <w:trPr>
          <w:trHeight w:val="20" w:hRule="atLeast"/>
          <w:jc w:val="center"/>
        </w:trPr>
        <w:tc>
          <w:tcPr>
            <w:tcW w:w="1571" w:type="dxa"/>
            <w:vMerge w:val="continue"/>
            <w:tcBorders>
              <w:left w:val="single" w:color="auto" w:sz="8" w:space="0"/>
              <w:right w:val="single" w:color="auto" w:sz="8" w:space="0"/>
            </w:tcBorders>
            <w:shd w:val="clear" w:color="auto" w:fill="F1F1F1" w:themeFill="background1" w:themeFillShade="F2"/>
            <w:vAlign w:val="center"/>
          </w:tcPr>
          <w:p>
            <w:pPr>
              <w:widowControl/>
              <w:spacing w:after="0" w:line="240" w:lineRule="auto"/>
              <w:jc w:val="center"/>
              <w:rPr>
                <w:rFonts w:ascii="华文宋体" w:hAnsi="华文宋体" w:eastAsia="华文宋体" w:cs="Times New Roman"/>
                <w:kern w:val="0"/>
                <w:sz w:val="22"/>
              </w:rPr>
            </w:pPr>
          </w:p>
        </w:tc>
        <w:tc>
          <w:tcPr>
            <w:tcW w:w="1276" w:type="dxa"/>
            <w:tcBorders>
              <w:top w:val="nil"/>
              <w:left w:val="nil"/>
              <w:bottom w:val="single" w:color="auto" w:sz="8" w:space="0"/>
              <w:right w:val="single" w:color="auto" w:sz="8" w:space="0"/>
            </w:tcBorders>
            <w:shd w:val="clear" w:color="auto" w:fill="F1F1F1" w:themeFill="background1" w:themeFillShade="F2"/>
            <w:vAlign w:val="center"/>
          </w:tcPr>
          <w:p>
            <w:pPr>
              <w:widowControl/>
              <w:spacing w:after="0" w:line="240" w:lineRule="auto"/>
              <w:jc w:val="center"/>
              <w:rPr>
                <w:rFonts w:ascii="华文宋体" w:hAnsi="华文宋体" w:eastAsia="华文宋体" w:cs="Times New Roman"/>
                <w:kern w:val="0"/>
                <w:sz w:val="22"/>
              </w:rPr>
            </w:pPr>
            <w:r>
              <w:rPr>
                <w:rFonts w:ascii="华文宋体" w:hAnsi="华文宋体" w:eastAsia="华文宋体" w:cs="Times New Roman"/>
                <w:kern w:val="0"/>
                <w:sz w:val="22"/>
              </w:rPr>
              <w:t>GCC-202</w:t>
            </w:r>
          </w:p>
        </w:tc>
        <w:tc>
          <w:tcPr>
            <w:tcW w:w="3827" w:type="dxa"/>
            <w:tcBorders>
              <w:top w:val="nil"/>
              <w:left w:val="nil"/>
              <w:bottom w:val="single" w:color="auto" w:sz="8" w:space="0"/>
              <w:right w:val="single" w:color="auto" w:sz="8" w:space="0"/>
            </w:tcBorders>
            <w:shd w:val="clear" w:color="auto" w:fill="F1F1F1" w:themeFill="background1" w:themeFillShade="F2"/>
            <w:vAlign w:val="center"/>
          </w:tcPr>
          <w:p>
            <w:pPr>
              <w:widowControl/>
              <w:spacing w:after="0" w:line="240" w:lineRule="auto"/>
              <w:jc w:val="center"/>
              <w:rPr>
                <w:rFonts w:ascii="华文宋体" w:hAnsi="华文宋体" w:eastAsia="华文宋体" w:cs="Times New Roman"/>
                <w:kern w:val="0"/>
                <w:sz w:val="22"/>
              </w:rPr>
            </w:pPr>
            <w:r>
              <w:rPr>
                <w:rFonts w:hint="eastAsia" w:ascii="华文宋体" w:hAnsi="华文宋体" w:eastAsia="华文宋体" w:cs="宋体"/>
                <w:kern w:val="0"/>
                <w:sz w:val="22"/>
              </w:rPr>
              <w:t>未来</w:t>
            </w:r>
            <w:r>
              <w:rPr>
                <w:rFonts w:ascii="华文宋体" w:hAnsi="华文宋体" w:eastAsia="华文宋体" w:cs="宋体"/>
                <w:kern w:val="0"/>
                <w:sz w:val="22"/>
              </w:rPr>
              <w:t>科技发展与创新创业</w:t>
            </w:r>
          </w:p>
        </w:tc>
        <w:tc>
          <w:tcPr>
            <w:tcW w:w="567" w:type="dxa"/>
            <w:tcBorders>
              <w:top w:val="nil"/>
              <w:left w:val="nil"/>
              <w:bottom w:val="single" w:color="auto" w:sz="8" w:space="0"/>
              <w:right w:val="single" w:color="auto" w:sz="8" w:space="0"/>
            </w:tcBorders>
            <w:shd w:val="clear" w:color="auto" w:fill="F1F1F1" w:themeFill="background1" w:themeFillShade="F2"/>
            <w:vAlign w:val="center"/>
          </w:tcPr>
          <w:p>
            <w:pPr>
              <w:widowControl/>
              <w:spacing w:after="0" w:line="240" w:lineRule="auto"/>
              <w:jc w:val="center"/>
              <w:rPr>
                <w:rFonts w:ascii="华文宋体" w:hAnsi="华文宋体" w:eastAsia="华文宋体" w:cs="Times New Roman"/>
                <w:kern w:val="0"/>
                <w:sz w:val="22"/>
              </w:rPr>
            </w:pPr>
            <w:r>
              <w:rPr>
                <w:rFonts w:ascii="华文宋体" w:hAnsi="华文宋体" w:eastAsia="华文宋体" w:cs="Times New Roman"/>
                <w:kern w:val="0"/>
                <w:sz w:val="22"/>
              </w:rPr>
              <w:t>16</w:t>
            </w:r>
          </w:p>
        </w:tc>
        <w:tc>
          <w:tcPr>
            <w:tcW w:w="709" w:type="dxa"/>
            <w:tcBorders>
              <w:top w:val="nil"/>
              <w:left w:val="nil"/>
              <w:bottom w:val="single" w:color="auto" w:sz="8" w:space="0"/>
              <w:right w:val="single" w:color="auto" w:sz="8" w:space="0"/>
            </w:tcBorders>
            <w:shd w:val="clear" w:color="auto" w:fill="F1F1F1" w:themeFill="background1" w:themeFillShade="F2"/>
            <w:vAlign w:val="center"/>
          </w:tcPr>
          <w:p>
            <w:pPr>
              <w:widowControl/>
              <w:spacing w:after="0" w:line="240" w:lineRule="auto"/>
              <w:jc w:val="center"/>
              <w:rPr>
                <w:rFonts w:ascii="华文宋体" w:hAnsi="华文宋体" w:eastAsia="华文宋体" w:cs="Times New Roman"/>
                <w:kern w:val="0"/>
                <w:sz w:val="22"/>
              </w:rPr>
            </w:pPr>
            <w:r>
              <w:rPr>
                <w:rFonts w:ascii="华文宋体" w:hAnsi="华文宋体" w:eastAsia="华文宋体" w:cs="Times New Roman"/>
                <w:kern w:val="0"/>
                <w:sz w:val="22"/>
              </w:rPr>
              <w:t>1</w:t>
            </w:r>
          </w:p>
        </w:tc>
        <w:tc>
          <w:tcPr>
            <w:tcW w:w="1112" w:type="dxa"/>
            <w:tcBorders>
              <w:top w:val="nil"/>
              <w:left w:val="nil"/>
              <w:bottom w:val="single" w:color="auto" w:sz="8" w:space="0"/>
              <w:right w:val="single" w:color="auto" w:sz="8" w:space="0"/>
            </w:tcBorders>
            <w:shd w:val="clear" w:color="auto" w:fill="F1F1F1" w:themeFill="background1" w:themeFillShade="F2"/>
            <w:vAlign w:val="center"/>
          </w:tcPr>
          <w:p>
            <w:pPr>
              <w:widowControl/>
              <w:spacing w:after="0" w:line="240" w:lineRule="auto"/>
              <w:jc w:val="center"/>
              <w:rPr>
                <w:rFonts w:ascii="华文宋体" w:hAnsi="华文宋体" w:eastAsia="华文宋体" w:cs="Times New Roman"/>
                <w:kern w:val="0"/>
                <w:sz w:val="22"/>
              </w:rPr>
            </w:pPr>
          </w:p>
        </w:tc>
      </w:tr>
      <w:tr>
        <w:tblPrEx>
          <w:tblCellMar>
            <w:top w:w="0" w:type="dxa"/>
            <w:left w:w="108" w:type="dxa"/>
            <w:bottom w:w="0" w:type="dxa"/>
            <w:right w:w="108" w:type="dxa"/>
          </w:tblCellMar>
        </w:tblPrEx>
        <w:trPr>
          <w:trHeight w:val="20" w:hRule="atLeast"/>
          <w:jc w:val="center"/>
        </w:trPr>
        <w:tc>
          <w:tcPr>
            <w:tcW w:w="1571" w:type="dxa"/>
            <w:vMerge w:val="continue"/>
            <w:tcBorders>
              <w:left w:val="single" w:color="auto" w:sz="8" w:space="0"/>
              <w:bottom w:val="single" w:color="000000" w:sz="8" w:space="0"/>
              <w:right w:val="single" w:color="auto" w:sz="8" w:space="0"/>
            </w:tcBorders>
            <w:shd w:val="clear" w:color="auto" w:fill="F1F1F1" w:themeFill="background1" w:themeFillShade="F2"/>
            <w:vAlign w:val="center"/>
          </w:tcPr>
          <w:p>
            <w:pPr>
              <w:widowControl/>
              <w:spacing w:after="0" w:line="240" w:lineRule="auto"/>
              <w:jc w:val="center"/>
              <w:rPr>
                <w:rFonts w:ascii="华文宋体" w:hAnsi="华文宋体" w:eastAsia="华文宋体" w:cs="Times New Roman"/>
                <w:kern w:val="0"/>
                <w:sz w:val="22"/>
              </w:rPr>
            </w:pPr>
          </w:p>
        </w:tc>
        <w:tc>
          <w:tcPr>
            <w:tcW w:w="1276" w:type="dxa"/>
            <w:tcBorders>
              <w:top w:val="nil"/>
              <w:left w:val="nil"/>
              <w:bottom w:val="single" w:color="auto" w:sz="8" w:space="0"/>
              <w:right w:val="single" w:color="auto" w:sz="8" w:space="0"/>
            </w:tcBorders>
            <w:shd w:val="clear" w:color="auto" w:fill="F1F1F1" w:themeFill="background1" w:themeFillShade="F2"/>
            <w:vAlign w:val="center"/>
          </w:tcPr>
          <w:p>
            <w:pPr>
              <w:widowControl/>
              <w:spacing w:after="0" w:line="240" w:lineRule="auto"/>
              <w:jc w:val="center"/>
              <w:rPr>
                <w:rFonts w:ascii="华文宋体" w:hAnsi="华文宋体" w:eastAsia="华文宋体" w:cs="Times New Roman"/>
                <w:kern w:val="0"/>
                <w:sz w:val="22"/>
              </w:rPr>
            </w:pPr>
            <w:r>
              <w:rPr>
                <w:rFonts w:ascii="华文宋体" w:hAnsi="华文宋体" w:eastAsia="华文宋体" w:cs="Times New Roman"/>
                <w:kern w:val="0"/>
                <w:sz w:val="22"/>
              </w:rPr>
              <w:t>GCC-203</w:t>
            </w:r>
          </w:p>
        </w:tc>
        <w:tc>
          <w:tcPr>
            <w:tcW w:w="3827" w:type="dxa"/>
            <w:tcBorders>
              <w:top w:val="nil"/>
              <w:left w:val="nil"/>
              <w:bottom w:val="single" w:color="auto" w:sz="8" w:space="0"/>
              <w:right w:val="single" w:color="auto" w:sz="8" w:space="0"/>
            </w:tcBorders>
            <w:shd w:val="clear" w:color="auto" w:fill="F1F1F1" w:themeFill="background1" w:themeFillShade="F2"/>
            <w:vAlign w:val="center"/>
          </w:tcPr>
          <w:p>
            <w:pPr>
              <w:widowControl/>
              <w:spacing w:after="0" w:line="240" w:lineRule="auto"/>
              <w:jc w:val="center"/>
              <w:rPr>
                <w:rFonts w:ascii="华文宋体" w:hAnsi="华文宋体" w:eastAsia="华文宋体" w:cs="Times New Roman"/>
                <w:kern w:val="0"/>
                <w:sz w:val="22"/>
              </w:rPr>
            </w:pPr>
            <w:r>
              <w:rPr>
                <w:rFonts w:ascii="华文宋体" w:hAnsi="华文宋体" w:eastAsia="华文宋体" w:cs="宋体"/>
                <w:kern w:val="0"/>
                <w:sz w:val="22"/>
              </w:rPr>
              <w:t>气候变化与可持续发展</w:t>
            </w:r>
          </w:p>
        </w:tc>
        <w:tc>
          <w:tcPr>
            <w:tcW w:w="567" w:type="dxa"/>
            <w:tcBorders>
              <w:top w:val="nil"/>
              <w:left w:val="nil"/>
              <w:bottom w:val="single" w:color="auto" w:sz="8" w:space="0"/>
              <w:right w:val="single" w:color="auto" w:sz="8" w:space="0"/>
            </w:tcBorders>
            <w:shd w:val="clear" w:color="auto" w:fill="F1F1F1" w:themeFill="background1" w:themeFillShade="F2"/>
            <w:vAlign w:val="center"/>
          </w:tcPr>
          <w:p>
            <w:pPr>
              <w:widowControl/>
              <w:spacing w:after="0" w:line="240" w:lineRule="auto"/>
              <w:jc w:val="center"/>
              <w:rPr>
                <w:rFonts w:ascii="华文宋体" w:hAnsi="华文宋体" w:eastAsia="华文宋体" w:cs="Times New Roman"/>
                <w:kern w:val="0"/>
                <w:sz w:val="22"/>
              </w:rPr>
            </w:pPr>
            <w:r>
              <w:rPr>
                <w:rFonts w:ascii="华文宋体" w:hAnsi="华文宋体" w:eastAsia="华文宋体" w:cs="Times New Roman"/>
                <w:kern w:val="0"/>
                <w:sz w:val="22"/>
              </w:rPr>
              <w:t>16</w:t>
            </w:r>
          </w:p>
        </w:tc>
        <w:tc>
          <w:tcPr>
            <w:tcW w:w="709" w:type="dxa"/>
            <w:tcBorders>
              <w:top w:val="nil"/>
              <w:left w:val="nil"/>
              <w:bottom w:val="single" w:color="auto" w:sz="8" w:space="0"/>
              <w:right w:val="single" w:color="auto" w:sz="8" w:space="0"/>
            </w:tcBorders>
            <w:shd w:val="clear" w:color="auto" w:fill="F1F1F1" w:themeFill="background1" w:themeFillShade="F2"/>
            <w:vAlign w:val="center"/>
          </w:tcPr>
          <w:p>
            <w:pPr>
              <w:widowControl/>
              <w:spacing w:after="0" w:line="240" w:lineRule="auto"/>
              <w:jc w:val="center"/>
              <w:rPr>
                <w:rFonts w:ascii="华文宋体" w:hAnsi="华文宋体" w:eastAsia="华文宋体" w:cs="Times New Roman"/>
                <w:kern w:val="0"/>
                <w:sz w:val="22"/>
              </w:rPr>
            </w:pPr>
            <w:r>
              <w:rPr>
                <w:rFonts w:ascii="华文宋体" w:hAnsi="华文宋体" w:eastAsia="华文宋体" w:cs="Times New Roman"/>
                <w:kern w:val="0"/>
                <w:sz w:val="22"/>
              </w:rPr>
              <w:t>1</w:t>
            </w:r>
          </w:p>
        </w:tc>
        <w:tc>
          <w:tcPr>
            <w:tcW w:w="1112" w:type="dxa"/>
            <w:tcBorders>
              <w:top w:val="nil"/>
              <w:left w:val="nil"/>
              <w:bottom w:val="single" w:color="auto" w:sz="8" w:space="0"/>
              <w:right w:val="single" w:color="auto" w:sz="8" w:space="0"/>
            </w:tcBorders>
            <w:shd w:val="clear" w:color="auto" w:fill="F1F1F1" w:themeFill="background1" w:themeFillShade="F2"/>
            <w:vAlign w:val="center"/>
          </w:tcPr>
          <w:p>
            <w:pPr>
              <w:widowControl/>
              <w:spacing w:after="0" w:line="240" w:lineRule="auto"/>
              <w:jc w:val="center"/>
              <w:rPr>
                <w:rFonts w:ascii="华文宋体" w:hAnsi="华文宋体" w:eastAsia="华文宋体" w:cs="Times New Roman"/>
                <w:kern w:val="0"/>
                <w:sz w:val="22"/>
              </w:rPr>
            </w:pPr>
          </w:p>
        </w:tc>
      </w:tr>
      <w:tr>
        <w:tblPrEx>
          <w:tblCellMar>
            <w:top w:w="0" w:type="dxa"/>
            <w:left w:w="108" w:type="dxa"/>
            <w:bottom w:w="0" w:type="dxa"/>
            <w:right w:w="108" w:type="dxa"/>
          </w:tblCellMar>
        </w:tblPrEx>
        <w:trPr>
          <w:trHeight w:val="20" w:hRule="atLeast"/>
          <w:jc w:val="center"/>
        </w:trPr>
        <w:tc>
          <w:tcPr>
            <w:tcW w:w="1571" w:type="dxa"/>
            <w:vMerge w:val="restart"/>
            <w:tcBorders>
              <w:top w:val="nil"/>
              <w:left w:val="single" w:color="auto" w:sz="8" w:space="0"/>
              <w:right w:val="single" w:color="auto" w:sz="8" w:space="0"/>
            </w:tcBorders>
            <w:shd w:val="clear" w:color="auto" w:fill="auto"/>
            <w:vAlign w:val="center"/>
          </w:tcPr>
          <w:p>
            <w:pPr>
              <w:widowControl/>
              <w:spacing w:after="0" w:line="240" w:lineRule="auto"/>
              <w:jc w:val="center"/>
              <w:rPr>
                <w:rFonts w:ascii="华文宋体" w:hAnsi="华文宋体" w:eastAsia="华文宋体" w:cs="Times New Roman"/>
                <w:color w:val="000000"/>
                <w:kern w:val="0"/>
                <w:sz w:val="22"/>
              </w:rPr>
            </w:pPr>
            <w:r>
              <w:rPr>
                <w:rFonts w:hint="eastAsia" w:ascii="华文宋体" w:hAnsi="华文宋体" w:eastAsia="华文宋体" w:cs="Times New Roman"/>
                <w:color w:val="000000"/>
                <w:kern w:val="0"/>
                <w:sz w:val="22"/>
              </w:rPr>
              <w:t>（三）</w:t>
            </w:r>
          </w:p>
          <w:p>
            <w:pPr>
              <w:widowControl/>
              <w:spacing w:after="0" w:line="240" w:lineRule="auto"/>
              <w:jc w:val="center"/>
              <w:rPr>
                <w:rFonts w:ascii="华文宋体" w:hAnsi="华文宋体" w:eastAsia="华文宋体" w:cs="Times New Roman"/>
                <w:color w:val="000000"/>
                <w:kern w:val="0"/>
                <w:sz w:val="22"/>
              </w:rPr>
            </w:pPr>
            <w:r>
              <w:rPr>
                <w:rFonts w:hint="eastAsia" w:ascii="华文宋体" w:hAnsi="华文宋体" w:eastAsia="华文宋体" w:cs="Times New Roman"/>
                <w:color w:val="000000"/>
                <w:kern w:val="0"/>
                <w:sz w:val="22"/>
              </w:rPr>
              <w:t>跨文化沟通</w:t>
            </w:r>
          </w:p>
        </w:tc>
        <w:tc>
          <w:tcPr>
            <w:tcW w:w="1276" w:type="dxa"/>
            <w:tcBorders>
              <w:top w:val="nil"/>
              <w:left w:val="nil"/>
              <w:bottom w:val="single" w:color="auto" w:sz="8" w:space="0"/>
              <w:right w:val="single" w:color="auto" w:sz="8" w:space="0"/>
            </w:tcBorders>
            <w:shd w:val="clear" w:color="auto" w:fill="auto"/>
            <w:vAlign w:val="center"/>
          </w:tcPr>
          <w:p>
            <w:pPr>
              <w:widowControl/>
              <w:spacing w:after="0" w:line="240" w:lineRule="auto"/>
              <w:jc w:val="center"/>
              <w:rPr>
                <w:rFonts w:ascii="华文宋体" w:hAnsi="华文宋体" w:eastAsia="华文宋体" w:cs="Times New Roman"/>
                <w:color w:val="000000"/>
                <w:kern w:val="0"/>
                <w:sz w:val="22"/>
              </w:rPr>
            </w:pPr>
            <w:r>
              <w:rPr>
                <w:rFonts w:ascii="华文宋体" w:hAnsi="华文宋体" w:eastAsia="华文宋体" w:cs="Times New Roman"/>
                <w:color w:val="000000"/>
                <w:kern w:val="0"/>
                <w:sz w:val="22"/>
              </w:rPr>
              <w:t>GCC-301</w:t>
            </w:r>
          </w:p>
        </w:tc>
        <w:tc>
          <w:tcPr>
            <w:tcW w:w="3827" w:type="dxa"/>
            <w:tcBorders>
              <w:top w:val="nil"/>
              <w:left w:val="nil"/>
              <w:bottom w:val="single" w:color="auto" w:sz="8" w:space="0"/>
              <w:right w:val="single" w:color="auto" w:sz="8" w:space="0"/>
            </w:tcBorders>
            <w:shd w:val="clear" w:color="auto" w:fill="auto"/>
            <w:vAlign w:val="center"/>
          </w:tcPr>
          <w:p>
            <w:pPr>
              <w:widowControl/>
              <w:spacing w:after="0" w:line="240" w:lineRule="auto"/>
              <w:jc w:val="center"/>
              <w:rPr>
                <w:rFonts w:ascii="华文宋体" w:hAnsi="华文宋体" w:eastAsia="华文宋体" w:cs="Times New Roman"/>
                <w:color w:val="000000"/>
                <w:kern w:val="0"/>
                <w:sz w:val="22"/>
              </w:rPr>
            </w:pPr>
            <w:r>
              <w:rPr>
                <w:rFonts w:ascii="华文宋体" w:hAnsi="华文宋体" w:eastAsia="华文宋体" w:cs="宋体"/>
                <w:color w:val="000000"/>
                <w:kern w:val="0"/>
                <w:sz w:val="22"/>
              </w:rPr>
              <w:t>跨文化沟通与交流</w:t>
            </w:r>
          </w:p>
        </w:tc>
        <w:tc>
          <w:tcPr>
            <w:tcW w:w="567" w:type="dxa"/>
            <w:tcBorders>
              <w:top w:val="nil"/>
              <w:left w:val="nil"/>
              <w:bottom w:val="single" w:color="auto" w:sz="8" w:space="0"/>
              <w:right w:val="single" w:color="auto" w:sz="8" w:space="0"/>
            </w:tcBorders>
            <w:shd w:val="clear" w:color="auto" w:fill="auto"/>
            <w:vAlign w:val="center"/>
          </w:tcPr>
          <w:p>
            <w:pPr>
              <w:widowControl/>
              <w:spacing w:after="0" w:line="240" w:lineRule="auto"/>
              <w:jc w:val="center"/>
              <w:rPr>
                <w:rFonts w:ascii="华文宋体" w:hAnsi="华文宋体" w:eastAsia="华文宋体" w:cs="Times New Roman"/>
                <w:color w:val="000000"/>
                <w:kern w:val="0"/>
                <w:sz w:val="22"/>
              </w:rPr>
            </w:pPr>
            <w:r>
              <w:rPr>
                <w:rFonts w:ascii="华文宋体" w:hAnsi="华文宋体" w:eastAsia="华文宋体" w:cs="Times New Roman"/>
                <w:color w:val="000000"/>
                <w:kern w:val="0"/>
                <w:sz w:val="22"/>
              </w:rPr>
              <w:t>16</w:t>
            </w:r>
          </w:p>
        </w:tc>
        <w:tc>
          <w:tcPr>
            <w:tcW w:w="709" w:type="dxa"/>
            <w:tcBorders>
              <w:top w:val="nil"/>
              <w:left w:val="nil"/>
              <w:bottom w:val="single" w:color="auto" w:sz="8" w:space="0"/>
              <w:right w:val="single" w:color="auto" w:sz="8" w:space="0"/>
            </w:tcBorders>
            <w:shd w:val="clear" w:color="auto" w:fill="auto"/>
            <w:vAlign w:val="center"/>
          </w:tcPr>
          <w:p>
            <w:pPr>
              <w:widowControl/>
              <w:spacing w:after="0" w:line="240" w:lineRule="auto"/>
              <w:jc w:val="center"/>
              <w:rPr>
                <w:rFonts w:ascii="华文宋体" w:hAnsi="华文宋体" w:eastAsia="华文宋体" w:cs="Times New Roman"/>
                <w:color w:val="000000"/>
                <w:kern w:val="0"/>
                <w:sz w:val="22"/>
              </w:rPr>
            </w:pPr>
            <w:r>
              <w:rPr>
                <w:rFonts w:ascii="华文宋体" w:hAnsi="华文宋体" w:eastAsia="华文宋体" w:cs="Times New Roman"/>
                <w:color w:val="000000"/>
                <w:kern w:val="0"/>
                <w:sz w:val="22"/>
              </w:rPr>
              <w:t>1</w:t>
            </w:r>
          </w:p>
        </w:tc>
        <w:tc>
          <w:tcPr>
            <w:tcW w:w="1112" w:type="dxa"/>
            <w:tcBorders>
              <w:top w:val="nil"/>
              <w:left w:val="nil"/>
              <w:bottom w:val="single" w:color="auto" w:sz="8" w:space="0"/>
              <w:right w:val="single" w:color="auto" w:sz="8" w:space="0"/>
            </w:tcBorders>
            <w:vAlign w:val="center"/>
          </w:tcPr>
          <w:p>
            <w:pPr>
              <w:widowControl/>
              <w:spacing w:after="0" w:line="240" w:lineRule="auto"/>
              <w:jc w:val="center"/>
              <w:rPr>
                <w:rFonts w:ascii="华文宋体" w:hAnsi="华文宋体" w:eastAsia="华文宋体" w:cs="Times New Roman"/>
                <w:color w:val="000000"/>
                <w:kern w:val="0"/>
                <w:sz w:val="22"/>
              </w:rPr>
            </w:pPr>
          </w:p>
        </w:tc>
      </w:tr>
      <w:tr>
        <w:tblPrEx>
          <w:tblCellMar>
            <w:top w:w="0" w:type="dxa"/>
            <w:left w:w="108" w:type="dxa"/>
            <w:bottom w:w="0" w:type="dxa"/>
            <w:right w:w="108" w:type="dxa"/>
          </w:tblCellMar>
        </w:tblPrEx>
        <w:trPr>
          <w:trHeight w:val="20" w:hRule="atLeast"/>
          <w:jc w:val="center"/>
        </w:trPr>
        <w:tc>
          <w:tcPr>
            <w:tcW w:w="1571" w:type="dxa"/>
            <w:vMerge w:val="continue"/>
            <w:tcBorders>
              <w:left w:val="single" w:color="auto" w:sz="8" w:space="0"/>
              <w:right w:val="single" w:color="auto" w:sz="8" w:space="0"/>
            </w:tcBorders>
            <w:shd w:val="clear" w:color="auto" w:fill="auto"/>
            <w:vAlign w:val="center"/>
          </w:tcPr>
          <w:p>
            <w:pPr>
              <w:widowControl/>
              <w:spacing w:after="0" w:line="240" w:lineRule="auto"/>
              <w:jc w:val="center"/>
              <w:rPr>
                <w:rFonts w:ascii="华文宋体" w:hAnsi="华文宋体" w:eastAsia="华文宋体" w:cs="Times New Roman"/>
                <w:color w:val="000000"/>
                <w:kern w:val="0"/>
                <w:sz w:val="22"/>
              </w:rPr>
            </w:pPr>
          </w:p>
        </w:tc>
        <w:tc>
          <w:tcPr>
            <w:tcW w:w="1276" w:type="dxa"/>
            <w:tcBorders>
              <w:top w:val="nil"/>
              <w:left w:val="nil"/>
              <w:bottom w:val="single" w:color="auto" w:sz="8" w:space="0"/>
              <w:right w:val="single" w:color="auto" w:sz="8" w:space="0"/>
            </w:tcBorders>
            <w:shd w:val="clear" w:color="auto" w:fill="auto"/>
            <w:vAlign w:val="center"/>
          </w:tcPr>
          <w:p>
            <w:pPr>
              <w:widowControl/>
              <w:spacing w:after="0" w:line="240" w:lineRule="auto"/>
              <w:jc w:val="center"/>
              <w:rPr>
                <w:rFonts w:ascii="华文宋体" w:hAnsi="华文宋体" w:eastAsia="华文宋体" w:cs="Times New Roman"/>
                <w:color w:val="000000"/>
                <w:kern w:val="0"/>
                <w:sz w:val="22"/>
              </w:rPr>
            </w:pPr>
            <w:r>
              <w:rPr>
                <w:rFonts w:ascii="华文宋体" w:hAnsi="华文宋体" w:eastAsia="华文宋体" w:cs="Times New Roman"/>
                <w:color w:val="000000"/>
                <w:kern w:val="0"/>
                <w:sz w:val="22"/>
              </w:rPr>
              <w:t>GCC-302</w:t>
            </w:r>
          </w:p>
        </w:tc>
        <w:tc>
          <w:tcPr>
            <w:tcW w:w="3827" w:type="dxa"/>
            <w:tcBorders>
              <w:top w:val="nil"/>
              <w:left w:val="nil"/>
              <w:bottom w:val="single" w:color="auto" w:sz="8" w:space="0"/>
              <w:right w:val="single" w:color="auto" w:sz="8" w:space="0"/>
            </w:tcBorders>
            <w:shd w:val="clear" w:color="auto" w:fill="auto"/>
            <w:vAlign w:val="center"/>
          </w:tcPr>
          <w:p>
            <w:pPr>
              <w:widowControl/>
              <w:spacing w:after="0" w:line="240" w:lineRule="auto"/>
              <w:jc w:val="center"/>
              <w:rPr>
                <w:rFonts w:ascii="华文宋体" w:hAnsi="华文宋体" w:eastAsia="华文宋体" w:cs="Times New Roman"/>
                <w:color w:val="000000"/>
                <w:kern w:val="0"/>
                <w:sz w:val="22"/>
              </w:rPr>
            </w:pPr>
            <w:r>
              <w:rPr>
                <w:rFonts w:ascii="华文宋体" w:hAnsi="华文宋体" w:eastAsia="华文宋体" w:cs="宋体"/>
                <w:color w:val="000000"/>
                <w:kern w:val="0"/>
                <w:sz w:val="22"/>
              </w:rPr>
              <w:t>演讲与辩论技能</w:t>
            </w:r>
          </w:p>
        </w:tc>
        <w:tc>
          <w:tcPr>
            <w:tcW w:w="567" w:type="dxa"/>
            <w:tcBorders>
              <w:top w:val="nil"/>
              <w:left w:val="nil"/>
              <w:bottom w:val="single" w:color="auto" w:sz="8" w:space="0"/>
              <w:right w:val="single" w:color="auto" w:sz="8" w:space="0"/>
            </w:tcBorders>
            <w:shd w:val="clear" w:color="auto" w:fill="auto"/>
            <w:vAlign w:val="center"/>
          </w:tcPr>
          <w:p>
            <w:pPr>
              <w:widowControl/>
              <w:spacing w:after="0" w:line="240" w:lineRule="auto"/>
              <w:jc w:val="center"/>
              <w:rPr>
                <w:rFonts w:ascii="华文宋体" w:hAnsi="华文宋体" w:eastAsia="华文宋体" w:cs="Times New Roman"/>
                <w:color w:val="000000"/>
                <w:kern w:val="0"/>
                <w:sz w:val="22"/>
              </w:rPr>
            </w:pPr>
            <w:r>
              <w:rPr>
                <w:rFonts w:ascii="华文宋体" w:hAnsi="华文宋体" w:eastAsia="华文宋体" w:cs="Times New Roman"/>
                <w:color w:val="000000"/>
                <w:kern w:val="0"/>
                <w:sz w:val="22"/>
              </w:rPr>
              <w:t>16</w:t>
            </w:r>
          </w:p>
        </w:tc>
        <w:tc>
          <w:tcPr>
            <w:tcW w:w="709" w:type="dxa"/>
            <w:tcBorders>
              <w:top w:val="nil"/>
              <w:left w:val="nil"/>
              <w:bottom w:val="single" w:color="auto" w:sz="8" w:space="0"/>
              <w:right w:val="single" w:color="auto" w:sz="8" w:space="0"/>
            </w:tcBorders>
            <w:shd w:val="clear" w:color="auto" w:fill="auto"/>
            <w:vAlign w:val="center"/>
          </w:tcPr>
          <w:p>
            <w:pPr>
              <w:widowControl/>
              <w:spacing w:after="0" w:line="240" w:lineRule="auto"/>
              <w:jc w:val="center"/>
              <w:rPr>
                <w:rFonts w:ascii="华文宋体" w:hAnsi="华文宋体" w:eastAsia="华文宋体" w:cs="Times New Roman"/>
                <w:color w:val="000000"/>
                <w:kern w:val="0"/>
                <w:sz w:val="22"/>
              </w:rPr>
            </w:pPr>
            <w:r>
              <w:rPr>
                <w:rFonts w:ascii="华文宋体" w:hAnsi="华文宋体" w:eastAsia="华文宋体" w:cs="Times New Roman"/>
                <w:color w:val="000000"/>
                <w:kern w:val="0"/>
                <w:sz w:val="22"/>
              </w:rPr>
              <w:t>1</w:t>
            </w:r>
          </w:p>
        </w:tc>
        <w:tc>
          <w:tcPr>
            <w:tcW w:w="1112" w:type="dxa"/>
            <w:tcBorders>
              <w:top w:val="nil"/>
              <w:left w:val="nil"/>
              <w:bottom w:val="single" w:color="auto" w:sz="8" w:space="0"/>
              <w:right w:val="single" w:color="auto" w:sz="8" w:space="0"/>
            </w:tcBorders>
            <w:vAlign w:val="center"/>
          </w:tcPr>
          <w:p>
            <w:pPr>
              <w:widowControl/>
              <w:spacing w:after="0" w:line="240" w:lineRule="auto"/>
              <w:jc w:val="center"/>
              <w:rPr>
                <w:rFonts w:ascii="华文宋体" w:hAnsi="华文宋体" w:eastAsia="华文宋体" w:cs="Times New Roman"/>
                <w:color w:val="000000"/>
                <w:kern w:val="0"/>
                <w:sz w:val="22"/>
              </w:rPr>
            </w:pPr>
          </w:p>
        </w:tc>
      </w:tr>
      <w:tr>
        <w:tblPrEx>
          <w:tblCellMar>
            <w:top w:w="0" w:type="dxa"/>
            <w:left w:w="108" w:type="dxa"/>
            <w:bottom w:w="0" w:type="dxa"/>
            <w:right w:w="108" w:type="dxa"/>
          </w:tblCellMar>
        </w:tblPrEx>
        <w:trPr>
          <w:trHeight w:val="20" w:hRule="atLeast"/>
          <w:jc w:val="center"/>
        </w:trPr>
        <w:tc>
          <w:tcPr>
            <w:tcW w:w="1571" w:type="dxa"/>
            <w:vMerge w:val="continue"/>
            <w:tcBorders>
              <w:left w:val="single" w:color="auto" w:sz="8" w:space="0"/>
              <w:bottom w:val="single" w:color="000000" w:sz="8" w:space="0"/>
              <w:right w:val="single" w:color="auto" w:sz="8" w:space="0"/>
            </w:tcBorders>
            <w:shd w:val="clear" w:color="auto" w:fill="auto"/>
            <w:vAlign w:val="center"/>
          </w:tcPr>
          <w:p>
            <w:pPr>
              <w:widowControl/>
              <w:spacing w:after="0" w:line="240" w:lineRule="auto"/>
              <w:jc w:val="center"/>
              <w:rPr>
                <w:rFonts w:ascii="华文宋体" w:hAnsi="华文宋体" w:eastAsia="华文宋体" w:cs="Times New Roman"/>
                <w:color w:val="000000"/>
                <w:kern w:val="0"/>
                <w:sz w:val="22"/>
              </w:rPr>
            </w:pPr>
          </w:p>
        </w:tc>
        <w:tc>
          <w:tcPr>
            <w:tcW w:w="1276" w:type="dxa"/>
            <w:tcBorders>
              <w:top w:val="nil"/>
              <w:left w:val="nil"/>
              <w:bottom w:val="single" w:color="auto" w:sz="8" w:space="0"/>
              <w:right w:val="single" w:color="auto" w:sz="8" w:space="0"/>
            </w:tcBorders>
            <w:shd w:val="clear" w:color="auto" w:fill="auto"/>
            <w:vAlign w:val="center"/>
          </w:tcPr>
          <w:p>
            <w:pPr>
              <w:widowControl/>
              <w:spacing w:after="0" w:line="240" w:lineRule="auto"/>
              <w:jc w:val="center"/>
              <w:rPr>
                <w:rFonts w:ascii="华文宋体" w:hAnsi="华文宋体" w:eastAsia="华文宋体" w:cs="Times New Roman"/>
                <w:color w:val="000000"/>
                <w:kern w:val="0"/>
                <w:sz w:val="22"/>
              </w:rPr>
            </w:pPr>
            <w:r>
              <w:rPr>
                <w:rFonts w:ascii="华文宋体" w:hAnsi="华文宋体" w:eastAsia="华文宋体" w:cs="Times New Roman"/>
                <w:color w:val="000000"/>
                <w:kern w:val="0"/>
                <w:sz w:val="22"/>
              </w:rPr>
              <w:t>GCC-303</w:t>
            </w:r>
          </w:p>
        </w:tc>
        <w:tc>
          <w:tcPr>
            <w:tcW w:w="3827" w:type="dxa"/>
            <w:tcBorders>
              <w:top w:val="nil"/>
              <w:left w:val="nil"/>
              <w:bottom w:val="single" w:color="auto" w:sz="8" w:space="0"/>
              <w:right w:val="single" w:color="auto" w:sz="8" w:space="0"/>
            </w:tcBorders>
            <w:shd w:val="clear" w:color="auto" w:fill="auto"/>
            <w:vAlign w:val="center"/>
          </w:tcPr>
          <w:p>
            <w:pPr>
              <w:widowControl/>
              <w:spacing w:after="0" w:line="240" w:lineRule="auto"/>
              <w:jc w:val="center"/>
              <w:rPr>
                <w:rFonts w:ascii="华文宋体" w:hAnsi="华文宋体" w:eastAsia="华文宋体" w:cs="Times New Roman"/>
                <w:color w:val="000000"/>
                <w:kern w:val="0"/>
                <w:sz w:val="22"/>
              </w:rPr>
            </w:pPr>
            <w:r>
              <w:rPr>
                <w:rFonts w:ascii="华文宋体" w:hAnsi="华文宋体" w:eastAsia="华文宋体" w:cs="宋体"/>
                <w:color w:val="000000"/>
                <w:kern w:val="0"/>
                <w:sz w:val="22"/>
              </w:rPr>
              <w:t>国际公文写作</w:t>
            </w:r>
          </w:p>
        </w:tc>
        <w:tc>
          <w:tcPr>
            <w:tcW w:w="567" w:type="dxa"/>
            <w:tcBorders>
              <w:top w:val="nil"/>
              <w:left w:val="nil"/>
              <w:bottom w:val="single" w:color="auto" w:sz="8" w:space="0"/>
              <w:right w:val="single" w:color="auto" w:sz="8" w:space="0"/>
            </w:tcBorders>
            <w:shd w:val="clear" w:color="auto" w:fill="auto"/>
            <w:vAlign w:val="center"/>
          </w:tcPr>
          <w:p>
            <w:pPr>
              <w:widowControl/>
              <w:spacing w:after="0" w:line="240" w:lineRule="auto"/>
              <w:jc w:val="center"/>
              <w:rPr>
                <w:rFonts w:ascii="华文宋体" w:hAnsi="华文宋体" w:eastAsia="华文宋体" w:cs="Times New Roman"/>
                <w:color w:val="000000"/>
                <w:kern w:val="0"/>
                <w:sz w:val="22"/>
              </w:rPr>
            </w:pPr>
            <w:r>
              <w:rPr>
                <w:rFonts w:ascii="华文宋体" w:hAnsi="华文宋体" w:eastAsia="华文宋体" w:cs="Times New Roman"/>
                <w:color w:val="000000"/>
                <w:kern w:val="0"/>
                <w:sz w:val="22"/>
              </w:rPr>
              <w:t>16</w:t>
            </w:r>
          </w:p>
        </w:tc>
        <w:tc>
          <w:tcPr>
            <w:tcW w:w="709" w:type="dxa"/>
            <w:tcBorders>
              <w:top w:val="nil"/>
              <w:left w:val="nil"/>
              <w:bottom w:val="single" w:color="auto" w:sz="8" w:space="0"/>
              <w:right w:val="single" w:color="auto" w:sz="8" w:space="0"/>
            </w:tcBorders>
            <w:shd w:val="clear" w:color="auto" w:fill="auto"/>
            <w:vAlign w:val="center"/>
          </w:tcPr>
          <w:p>
            <w:pPr>
              <w:widowControl/>
              <w:spacing w:after="0" w:line="240" w:lineRule="auto"/>
              <w:jc w:val="center"/>
              <w:rPr>
                <w:rFonts w:ascii="华文宋体" w:hAnsi="华文宋体" w:eastAsia="华文宋体" w:cs="Times New Roman"/>
                <w:color w:val="000000"/>
                <w:kern w:val="0"/>
                <w:sz w:val="22"/>
              </w:rPr>
            </w:pPr>
            <w:r>
              <w:rPr>
                <w:rFonts w:ascii="华文宋体" w:hAnsi="华文宋体" w:eastAsia="华文宋体" w:cs="Times New Roman"/>
                <w:color w:val="000000"/>
                <w:kern w:val="0"/>
                <w:sz w:val="22"/>
              </w:rPr>
              <w:t>1</w:t>
            </w:r>
          </w:p>
        </w:tc>
        <w:tc>
          <w:tcPr>
            <w:tcW w:w="1112" w:type="dxa"/>
            <w:tcBorders>
              <w:top w:val="nil"/>
              <w:left w:val="nil"/>
              <w:bottom w:val="single" w:color="auto" w:sz="8" w:space="0"/>
              <w:right w:val="single" w:color="auto" w:sz="8" w:space="0"/>
            </w:tcBorders>
            <w:vAlign w:val="center"/>
          </w:tcPr>
          <w:p>
            <w:pPr>
              <w:widowControl/>
              <w:spacing w:after="0" w:line="240" w:lineRule="auto"/>
              <w:jc w:val="center"/>
              <w:rPr>
                <w:rFonts w:ascii="华文宋体" w:hAnsi="华文宋体" w:eastAsia="华文宋体" w:cs="Times New Roman"/>
                <w:color w:val="000000"/>
                <w:kern w:val="0"/>
                <w:sz w:val="22"/>
              </w:rPr>
            </w:pPr>
          </w:p>
        </w:tc>
      </w:tr>
      <w:tr>
        <w:tblPrEx>
          <w:tblCellMar>
            <w:top w:w="0" w:type="dxa"/>
            <w:left w:w="108" w:type="dxa"/>
            <w:bottom w:w="0" w:type="dxa"/>
            <w:right w:w="108" w:type="dxa"/>
          </w:tblCellMar>
        </w:tblPrEx>
        <w:trPr>
          <w:trHeight w:val="20" w:hRule="atLeast"/>
          <w:jc w:val="center"/>
        </w:trPr>
        <w:tc>
          <w:tcPr>
            <w:tcW w:w="1571" w:type="dxa"/>
            <w:vMerge w:val="restart"/>
            <w:tcBorders>
              <w:top w:val="nil"/>
              <w:left w:val="single" w:color="auto" w:sz="8" w:space="0"/>
              <w:right w:val="single" w:color="auto" w:sz="8" w:space="0"/>
            </w:tcBorders>
            <w:shd w:val="clear" w:color="auto" w:fill="F1F1F1" w:themeFill="background1" w:themeFillShade="F2"/>
            <w:vAlign w:val="center"/>
          </w:tcPr>
          <w:p>
            <w:pPr>
              <w:spacing w:after="0" w:line="240" w:lineRule="auto"/>
              <w:jc w:val="center"/>
              <w:rPr>
                <w:rFonts w:ascii="华文宋体" w:hAnsi="华文宋体" w:eastAsia="华文宋体" w:cs="宋体"/>
                <w:color w:val="000000"/>
                <w:kern w:val="0"/>
                <w:sz w:val="22"/>
              </w:rPr>
            </w:pPr>
            <w:r>
              <w:rPr>
                <w:rFonts w:ascii="华文宋体" w:hAnsi="华文宋体" w:eastAsia="华文宋体" w:cs="宋体"/>
                <w:color w:val="000000"/>
                <w:kern w:val="0"/>
                <w:sz w:val="22"/>
              </w:rPr>
              <w:t>讲座</w:t>
            </w:r>
          </w:p>
          <w:p>
            <w:pPr>
              <w:spacing w:after="0" w:line="240" w:lineRule="auto"/>
              <w:jc w:val="center"/>
              <w:rPr>
                <w:rFonts w:ascii="华文宋体" w:hAnsi="华文宋体" w:eastAsia="华文宋体" w:cs="宋体"/>
                <w:color w:val="000000"/>
                <w:kern w:val="0"/>
                <w:sz w:val="22"/>
              </w:rPr>
            </w:pPr>
            <w:r>
              <w:rPr>
                <w:rFonts w:hint="eastAsia" w:ascii="华文宋体" w:hAnsi="华文宋体" w:eastAsia="华文宋体" w:cs="宋体"/>
                <w:color w:val="000000"/>
                <w:kern w:val="0"/>
                <w:sz w:val="22"/>
              </w:rPr>
              <w:t>（建议主题）</w:t>
            </w:r>
          </w:p>
        </w:tc>
        <w:tc>
          <w:tcPr>
            <w:tcW w:w="1276" w:type="dxa"/>
            <w:tcBorders>
              <w:top w:val="nil"/>
              <w:left w:val="nil"/>
              <w:bottom w:val="single" w:color="auto" w:sz="8" w:space="0"/>
              <w:right w:val="single" w:color="auto" w:sz="8" w:space="0"/>
            </w:tcBorders>
            <w:shd w:val="clear" w:color="auto" w:fill="F1F1F1" w:themeFill="background1" w:themeFillShade="F2"/>
            <w:vAlign w:val="center"/>
          </w:tcPr>
          <w:p>
            <w:pPr>
              <w:widowControl/>
              <w:spacing w:after="0" w:line="240" w:lineRule="auto"/>
              <w:jc w:val="center"/>
              <w:rPr>
                <w:rFonts w:ascii="华文宋体" w:hAnsi="华文宋体" w:eastAsia="华文宋体" w:cs="Times New Roman"/>
                <w:color w:val="000000"/>
                <w:kern w:val="0"/>
                <w:sz w:val="22"/>
              </w:rPr>
            </w:pPr>
            <w:r>
              <w:rPr>
                <w:rFonts w:ascii="华文宋体" w:hAnsi="华文宋体" w:eastAsia="华文宋体" w:cs="Times New Roman"/>
                <w:color w:val="000000"/>
                <w:kern w:val="0"/>
                <w:sz w:val="22"/>
              </w:rPr>
              <w:t>GCC-L01</w:t>
            </w:r>
          </w:p>
        </w:tc>
        <w:tc>
          <w:tcPr>
            <w:tcW w:w="3827" w:type="dxa"/>
            <w:tcBorders>
              <w:top w:val="nil"/>
              <w:left w:val="nil"/>
              <w:bottom w:val="single" w:color="auto" w:sz="8" w:space="0"/>
              <w:right w:val="single" w:color="auto" w:sz="8" w:space="0"/>
            </w:tcBorders>
            <w:shd w:val="clear" w:color="auto" w:fill="F1F1F1" w:themeFill="background1" w:themeFillShade="F2"/>
            <w:vAlign w:val="center"/>
          </w:tcPr>
          <w:p>
            <w:pPr>
              <w:widowControl/>
              <w:spacing w:after="0" w:line="240" w:lineRule="auto"/>
              <w:jc w:val="center"/>
              <w:rPr>
                <w:rFonts w:ascii="华文宋体" w:hAnsi="华文宋体" w:eastAsia="华文宋体" w:cs="宋体"/>
                <w:color w:val="000000"/>
                <w:kern w:val="0"/>
                <w:sz w:val="22"/>
              </w:rPr>
            </w:pPr>
            <w:r>
              <w:rPr>
                <w:rFonts w:hint="eastAsia" w:ascii="华文宋体" w:hAnsi="华文宋体" w:eastAsia="华文宋体" w:cs="宋体"/>
                <w:color w:val="000000"/>
                <w:kern w:val="0"/>
                <w:sz w:val="22"/>
              </w:rPr>
              <w:t>新时代中国治国理政方略</w:t>
            </w:r>
          </w:p>
        </w:tc>
        <w:tc>
          <w:tcPr>
            <w:tcW w:w="567" w:type="dxa"/>
            <w:tcBorders>
              <w:top w:val="nil"/>
              <w:left w:val="nil"/>
              <w:bottom w:val="single" w:color="auto" w:sz="8" w:space="0"/>
              <w:right w:val="single" w:color="auto" w:sz="4" w:space="0"/>
            </w:tcBorders>
            <w:shd w:val="clear" w:color="auto" w:fill="F1F1F1" w:themeFill="background1" w:themeFillShade="F2"/>
            <w:vAlign w:val="center"/>
          </w:tcPr>
          <w:p>
            <w:pPr>
              <w:widowControl/>
              <w:spacing w:after="0" w:line="240" w:lineRule="auto"/>
              <w:jc w:val="center"/>
              <w:rPr>
                <w:rFonts w:ascii="华文宋体" w:hAnsi="华文宋体" w:eastAsia="华文宋体" w:cs="Times New Roman"/>
                <w:color w:val="000000"/>
                <w:kern w:val="0"/>
                <w:sz w:val="22"/>
              </w:rPr>
            </w:pPr>
            <w:r>
              <w:rPr>
                <w:rFonts w:ascii="华文宋体" w:hAnsi="华文宋体" w:eastAsia="华文宋体" w:cs="Times New Roman"/>
                <w:color w:val="000000"/>
                <w:kern w:val="0"/>
                <w:sz w:val="22"/>
              </w:rPr>
              <w:t>1-2</w:t>
            </w:r>
          </w:p>
        </w:tc>
        <w:tc>
          <w:tcPr>
            <w:tcW w:w="709" w:type="dxa"/>
            <w:tcBorders>
              <w:top w:val="nil"/>
              <w:left w:val="single" w:color="auto" w:sz="4" w:space="0"/>
              <w:bottom w:val="single" w:color="auto" w:sz="8" w:space="0"/>
              <w:right w:val="single" w:color="auto" w:sz="4" w:space="0"/>
            </w:tcBorders>
            <w:shd w:val="clear" w:color="auto" w:fill="F1F1F1" w:themeFill="background1" w:themeFillShade="F2"/>
            <w:vAlign w:val="center"/>
          </w:tcPr>
          <w:p>
            <w:pPr>
              <w:widowControl/>
              <w:spacing w:after="0" w:line="240" w:lineRule="auto"/>
              <w:jc w:val="center"/>
              <w:rPr>
                <w:rFonts w:ascii="华文宋体" w:hAnsi="华文宋体" w:eastAsia="华文宋体" w:cs="Times New Roman"/>
                <w:color w:val="000000"/>
                <w:kern w:val="0"/>
                <w:sz w:val="22"/>
              </w:rPr>
            </w:pPr>
          </w:p>
        </w:tc>
        <w:tc>
          <w:tcPr>
            <w:tcW w:w="1112" w:type="dxa"/>
            <w:tcBorders>
              <w:top w:val="nil"/>
              <w:left w:val="single" w:color="auto" w:sz="4" w:space="0"/>
              <w:bottom w:val="single" w:color="auto" w:sz="8" w:space="0"/>
              <w:right w:val="single" w:color="auto" w:sz="4" w:space="0"/>
            </w:tcBorders>
            <w:shd w:val="clear" w:color="auto" w:fill="F1F1F1" w:themeFill="background1" w:themeFillShade="F2"/>
            <w:vAlign w:val="center"/>
          </w:tcPr>
          <w:p>
            <w:pPr>
              <w:widowControl/>
              <w:spacing w:after="0" w:line="240" w:lineRule="auto"/>
              <w:jc w:val="center"/>
              <w:rPr>
                <w:rFonts w:ascii="华文宋体" w:hAnsi="华文宋体" w:eastAsia="华文宋体" w:cs="Times New Roman"/>
                <w:color w:val="000000"/>
                <w:kern w:val="0"/>
                <w:sz w:val="22"/>
              </w:rPr>
            </w:pPr>
          </w:p>
        </w:tc>
      </w:tr>
      <w:tr>
        <w:tblPrEx>
          <w:tblCellMar>
            <w:top w:w="0" w:type="dxa"/>
            <w:left w:w="108" w:type="dxa"/>
            <w:bottom w:w="0" w:type="dxa"/>
            <w:right w:w="108" w:type="dxa"/>
          </w:tblCellMar>
        </w:tblPrEx>
        <w:trPr>
          <w:trHeight w:val="20" w:hRule="atLeast"/>
          <w:jc w:val="center"/>
        </w:trPr>
        <w:tc>
          <w:tcPr>
            <w:tcW w:w="1571" w:type="dxa"/>
            <w:vMerge w:val="continue"/>
            <w:tcBorders>
              <w:left w:val="single" w:color="auto" w:sz="8" w:space="0"/>
              <w:right w:val="single" w:color="auto" w:sz="8" w:space="0"/>
            </w:tcBorders>
            <w:shd w:val="clear" w:color="auto" w:fill="F1F1F1" w:themeFill="background1" w:themeFillShade="F2"/>
            <w:vAlign w:val="center"/>
          </w:tcPr>
          <w:p>
            <w:pPr>
              <w:widowControl/>
              <w:spacing w:after="0" w:line="240" w:lineRule="auto"/>
              <w:jc w:val="center"/>
              <w:rPr>
                <w:rFonts w:ascii="华文宋体" w:hAnsi="华文宋体" w:eastAsia="华文宋体" w:cs="Times New Roman"/>
                <w:color w:val="000000"/>
                <w:kern w:val="0"/>
                <w:sz w:val="22"/>
              </w:rPr>
            </w:pPr>
          </w:p>
        </w:tc>
        <w:tc>
          <w:tcPr>
            <w:tcW w:w="1276" w:type="dxa"/>
            <w:tcBorders>
              <w:top w:val="nil"/>
              <w:left w:val="nil"/>
              <w:bottom w:val="single" w:color="auto" w:sz="8" w:space="0"/>
              <w:right w:val="single" w:color="auto" w:sz="8" w:space="0"/>
            </w:tcBorders>
            <w:shd w:val="clear" w:color="auto" w:fill="F1F1F1" w:themeFill="background1" w:themeFillShade="F2"/>
          </w:tcPr>
          <w:p>
            <w:pPr>
              <w:widowControl/>
              <w:spacing w:after="0" w:line="240" w:lineRule="auto"/>
              <w:jc w:val="center"/>
              <w:rPr>
                <w:rFonts w:ascii="华文宋体" w:hAnsi="华文宋体" w:eastAsia="华文宋体" w:cs="Times New Roman"/>
                <w:color w:val="000000"/>
                <w:kern w:val="0"/>
                <w:sz w:val="22"/>
              </w:rPr>
            </w:pPr>
            <w:r>
              <w:rPr>
                <w:rFonts w:ascii="华文宋体" w:hAnsi="华文宋体" w:eastAsia="华文宋体" w:cs="Times New Roman"/>
                <w:color w:val="000000"/>
                <w:kern w:val="0"/>
                <w:sz w:val="22"/>
              </w:rPr>
              <w:t>GCC-L02</w:t>
            </w:r>
          </w:p>
        </w:tc>
        <w:tc>
          <w:tcPr>
            <w:tcW w:w="3827" w:type="dxa"/>
            <w:tcBorders>
              <w:top w:val="nil"/>
              <w:left w:val="nil"/>
              <w:bottom w:val="single" w:color="auto" w:sz="8" w:space="0"/>
              <w:right w:val="single" w:color="auto" w:sz="8" w:space="0"/>
            </w:tcBorders>
            <w:shd w:val="clear" w:color="auto" w:fill="F1F1F1" w:themeFill="background1" w:themeFillShade="F2"/>
            <w:vAlign w:val="center"/>
          </w:tcPr>
          <w:p>
            <w:pPr>
              <w:widowControl/>
              <w:spacing w:after="0" w:line="240" w:lineRule="auto"/>
              <w:jc w:val="center"/>
              <w:rPr>
                <w:rFonts w:ascii="华文宋体" w:hAnsi="华文宋体" w:eastAsia="华文宋体" w:cs="Times New Roman"/>
                <w:color w:val="000000"/>
                <w:kern w:val="0"/>
                <w:sz w:val="22"/>
              </w:rPr>
            </w:pPr>
            <w:r>
              <w:rPr>
                <w:rFonts w:ascii="华文宋体" w:hAnsi="华文宋体" w:eastAsia="华文宋体" w:cs="宋体"/>
                <w:color w:val="000000"/>
                <w:kern w:val="0"/>
                <w:sz w:val="22"/>
              </w:rPr>
              <w:t>媒介素养与国际传播</w:t>
            </w:r>
          </w:p>
        </w:tc>
        <w:tc>
          <w:tcPr>
            <w:tcW w:w="567" w:type="dxa"/>
            <w:tcBorders>
              <w:top w:val="nil"/>
              <w:left w:val="nil"/>
              <w:bottom w:val="single" w:color="auto" w:sz="8" w:space="0"/>
              <w:right w:val="single" w:color="auto" w:sz="4" w:space="0"/>
            </w:tcBorders>
            <w:shd w:val="clear" w:color="auto" w:fill="F1F1F1" w:themeFill="background1" w:themeFillShade="F2"/>
            <w:vAlign w:val="center"/>
          </w:tcPr>
          <w:p>
            <w:pPr>
              <w:widowControl/>
              <w:spacing w:after="0" w:line="240" w:lineRule="auto"/>
              <w:jc w:val="center"/>
              <w:rPr>
                <w:rFonts w:ascii="华文宋体" w:hAnsi="华文宋体" w:eastAsia="华文宋体" w:cs="Times New Roman"/>
                <w:color w:val="000000"/>
                <w:kern w:val="0"/>
                <w:sz w:val="22"/>
              </w:rPr>
            </w:pPr>
            <w:r>
              <w:rPr>
                <w:rFonts w:ascii="华文宋体" w:hAnsi="华文宋体" w:eastAsia="华文宋体" w:cs="Times New Roman"/>
                <w:color w:val="000000"/>
                <w:kern w:val="0"/>
                <w:sz w:val="22"/>
              </w:rPr>
              <w:t>1-2</w:t>
            </w:r>
          </w:p>
        </w:tc>
        <w:tc>
          <w:tcPr>
            <w:tcW w:w="709" w:type="dxa"/>
            <w:tcBorders>
              <w:top w:val="nil"/>
              <w:left w:val="single" w:color="auto" w:sz="4" w:space="0"/>
              <w:bottom w:val="single" w:color="auto" w:sz="8" w:space="0"/>
              <w:right w:val="single" w:color="auto" w:sz="4" w:space="0"/>
            </w:tcBorders>
            <w:shd w:val="clear" w:color="auto" w:fill="F1F1F1" w:themeFill="background1" w:themeFillShade="F2"/>
            <w:vAlign w:val="center"/>
          </w:tcPr>
          <w:p>
            <w:pPr>
              <w:widowControl/>
              <w:spacing w:after="0" w:line="240" w:lineRule="auto"/>
              <w:jc w:val="center"/>
              <w:rPr>
                <w:rFonts w:ascii="华文宋体" w:hAnsi="华文宋体" w:eastAsia="华文宋体" w:cs="Times New Roman"/>
                <w:color w:val="000000"/>
                <w:kern w:val="0"/>
                <w:sz w:val="22"/>
              </w:rPr>
            </w:pPr>
          </w:p>
        </w:tc>
        <w:tc>
          <w:tcPr>
            <w:tcW w:w="1112" w:type="dxa"/>
            <w:tcBorders>
              <w:top w:val="nil"/>
              <w:left w:val="single" w:color="auto" w:sz="4" w:space="0"/>
              <w:bottom w:val="single" w:color="auto" w:sz="8" w:space="0"/>
              <w:right w:val="single" w:color="auto" w:sz="4" w:space="0"/>
            </w:tcBorders>
            <w:shd w:val="clear" w:color="auto" w:fill="F1F1F1" w:themeFill="background1" w:themeFillShade="F2"/>
            <w:vAlign w:val="center"/>
          </w:tcPr>
          <w:p>
            <w:pPr>
              <w:widowControl/>
              <w:spacing w:after="0" w:line="240" w:lineRule="auto"/>
              <w:jc w:val="center"/>
              <w:rPr>
                <w:rFonts w:ascii="华文宋体" w:hAnsi="华文宋体" w:eastAsia="华文宋体" w:cs="Times New Roman"/>
                <w:color w:val="000000"/>
                <w:kern w:val="0"/>
                <w:sz w:val="22"/>
              </w:rPr>
            </w:pPr>
          </w:p>
        </w:tc>
      </w:tr>
      <w:tr>
        <w:tblPrEx>
          <w:tblCellMar>
            <w:top w:w="0" w:type="dxa"/>
            <w:left w:w="108" w:type="dxa"/>
            <w:bottom w:w="0" w:type="dxa"/>
            <w:right w:w="108" w:type="dxa"/>
          </w:tblCellMar>
        </w:tblPrEx>
        <w:trPr>
          <w:trHeight w:val="20" w:hRule="atLeast"/>
          <w:jc w:val="center"/>
        </w:trPr>
        <w:tc>
          <w:tcPr>
            <w:tcW w:w="1571" w:type="dxa"/>
            <w:vMerge w:val="continue"/>
            <w:tcBorders>
              <w:left w:val="single" w:color="auto" w:sz="8" w:space="0"/>
              <w:right w:val="single" w:color="auto" w:sz="8" w:space="0"/>
            </w:tcBorders>
            <w:shd w:val="clear" w:color="auto" w:fill="F1F1F1" w:themeFill="background1" w:themeFillShade="F2"/>
            <w:vAlign w:val="center"/>
          </w:tcPr>
          <w:p>
            <w:pPr>
              <w:widowControl/>
              <w:spacing w:after="0" w:line="240" w:lineRule="auto"/>
              <w:jc w:val="center"/>
              <w:rPr>
                <w:rFonts w:ascii="华文宋体" w:hAnsi="华文宋体" w:eastAsia="华文宋体" w:cs="Times New Roman"/>
                <w:color w:val="000000"/>
                <w:kern w:val="0"/>
                <w:sz w:val="22"/>
              </w:rPr>
            </w:pPr>
          </w:p>
        </w:tc>
        <w:tc>
          <w:tcPr>
            <w:tcW w:w="1276" w:type="dxa"/>
            <w:tcBorders>
              <w:top w:val="nil"/>
              <w:left w:val="nil"/>
              <w:bottom w:val="single" w:color="auto" w:sz="8" w:space="0"/>
              <w:right w:val="single" w:color="auto" w:sz="8" w:space="0"/>
            </w:tcBorders>
            <w:shd w:val="clear" w:color="auto" w:fill="F1F1F1" w:themeFill="background1" w:themeFillShade="F2"/>
          </w:tcPr>
          <w:p>
            <w:pPr>
              <w:widowControl/>
              <w:spacing w:after="0" w:line="240" w:lineRule="auto"/>
              <w:jc w:val="center"/>
              <w:rPr>
                <w:rFonts w:ascii="华文宋体" w:hAnsi="华文宋体" w:eastAsia="华文宋体" w:cs="Times New Roman"/>
                <w:color w:val="000000"/>
                <w:kern w:val="0"/>
                <w:sz w:val="22"/>
              </w:rPr>
            </w:pPr>
            <w:r>
              <w:rPr>
                <w:rFonts w:ascii="华文宋体" w:hAnsi="华文宋体" w:eastAsia="华文宋体" w:cs="Times New Roman"/>
                <w:color w:val="000000"/>
                <w:kern w:val="0"/>
                <w:sz w:val="22"/>
              </w:rPr>
              <w:t>GCC-L03</w:t>
            </w:r>
          </w:p>
        </w:tc>
        <w:tc>
          <w:tcPr>
            <w:tcW w:w="3827" w:type="dxa"/>
            <w:tcBorders>
              <w:top w:val="nil"/>
              <w:left w:val="nil"/>
              <w:bottom w:val="single" w:color="auto" w:sz="8" w:space="0"/>
              <w:right w:val="single" w:color="auto" w:sz="8" w:space="0"/>
            </w:tcBorders>
            <w:shd w:val="clear" w:color="auto" w:fill="F1F1F1" w:themeFill="background1" w:themeFillShade="F2"/>
            <w:vAlign w:val="center"/>
          </w:tcPr>
          <w:p>
            <w:pPr>
              <w:widowControl/>
              <w:spacing w:after="0" w:line="240" w:lineRule="auto"/>
              <w:jc w:val="center"/>
              <w:rPr>
                <w:rFonts w:ascii="华文宋体" w:hAnsi="华文宋体" w:eastAsia="华文宋体" w:cs="宋体"/>
                <w:color w:val="000000"/>
                <w:kern w:val="0"/>
                <w:sz w:val="22"/>
              </w:rPr>
            </w:pPr>
            <w:r>
              <w:rPr>
                <w:rFonts w:hint="eastAsia" w:ascii="华文宋体" w:hAnsi="华文宋体" w:eastAsia="华文宋体" w:cs="宋体"/>
                <w:kern w:val="0"/>
                <w:sz w:val="22"/>
              </w:rPr>
              <w:t>国际公务员的选拔方式</w:t>
            </w:r>
          </w:p>
        </w:tc>
        <w:tc>
          <w:tcPr>
            <w:tcW w:w="567" w:type="dxa"/>
            <w:tcBorders>
              <w:top w:val="nil"/>
              <w:left w:val="nil"/>
              <w:bottom w:val="single" w:color="auto" w:sz="8" w:space="0"/>
              <w:right w:val="single" w:color="auto" w:sz="4" w:space="0"/>
            </w:tcBorders>
            <w:shd w:val="clear" w:color="auto" w:fill="F1F1F1" w:themeFill="background1" w:themeFillShade="F2"/>
            <w:vAlign w:val="center"/>
          </w:tcPr>
          <w:p>
            <w:pPr>
              <w:widowControl/>
              <w:spacing w:after="0" w:line="240" w:lineRule="auto"/>
              <w:jc w:val="center"/>
              <w:rPr>
                <w:rFonts w:ascii="华文宋体" w:hAnsi="华文宋体" w:eastAsia="华文宋体" w:cs="Times New Roman"/>
                <w:color w:val="000000"/>
                <w:kern w:val="0"/>
                <w:sz w:val="22"/>
              </w:rPr>
            </w:pPr>
            <w:r>
              <w:rPr>
                <w:rFonts w:ascii="华文宋体" w:hAnsi="华文宋体" w:eastAsia="华文宋体" w:cs="Times New Roman"/>
                <w:color w:val="000000"/>
                <w:kern w:val="0"/>
                <w:sz w:val="22"/>
              </w:rPr>
              <w:t>1-2</w:t>
            </w:r>
          </w:p>
        </w:tc>
        <w:tc>
          <w:tcPr>
            <w:tcW w:w="709" w:type="dxa"/>
            <w:tcBorders>
              <w:top w:val="nil"/>
              <w:left w:val="single" w:color="auto" w:sz="4" w:space="0"/>
              <w:bottom w:val="single" w:color="auto" w:sz="8" w:space="0"/>
              <w:right w:val="single" w:color="auto" w:sz="4" w:space="0"/>
            </w:tcBorders>
            <w:shd w:val="clear" w:color="auto" w:fill="F1F1F1" w:themeFill="background1" w:themeFillShade="F2"/>
            <w:vAlign w:val="center"/>
          </w:tcPr>
          <w:p>
            <w:pPr>
              <w:widowControl/>
              <w:spacing w:after="0" w:line="240" w:lineRule="auto"/>
              <w:jc w:val="center"/>
              <w:rPr>
                <w:rFonts w:ascii="华文宋体" w:hAnsi="华文宋体" w:eastAsia="华文宋体" w:cs="Times New Roman"/>
                <w:color w:val="000000"/>
                <w:kern w:val="0"/>
                <w:sz w:val="22"/>
              </w:rPr>
            </w:pPr>
          </w:p>
        </w:tc>
        <w:tc>
          <w:tcPr>
            <w:tcW w:w="1112" w:type="dxa"/>
            <w:tcBorders>
              <w:top w:val="nil"/>
              <w:left w:val="single" w:color="auto" w:sz="4" w:space="0"/>
              <w:bottom w:val="single" w:color="auto" w:sz="8" w:space="0"/>
              <w:right w:val="single" w:color="auto" w:sz="4" w:space="0"/>
            </w:tcBorders>
            <w:shd w:val="clear" w:color="auto" w:fill="F1F1F1" w:themeFill="background1" w:themeFillShade="F2"/>
            <w:vAlign w:val="center"/>
          </w:tcPr>
          <w:p>
            <w:pPr>
              <w:widowControl/>
              <w:spacing w:after="0" w:line="240" w:lineRule="auto"/>
              <w:jc w:val="center"/>
              <w:rPr>
                <w:rFonts w:ascii="华文宋体" w:hAnsi="华文宋体" w:eastAsia="华文宋体" w:cs="Times New Roman"/>
                <w:color w:val="000000"/>
                <w:kern w:val="0"/>
                <w:sz w:val="22"/>
              </w:rPr>
            </w:pPr>
          </w:p>
        </w:tc>
      </w:tr>
      <w:tr>
        <w:tblPrEx>
          <w:tblCellMar>
            <w:top w:w="0" w:type="dxa"/>
            <w:left w:w="108" w:type="dxa"/>
            <w:bottom w:w="0" w:type="dxa"/>
            <w:right w:w="108" w:type="dxa"/>
          </w:tblCellMar>
        </w:tblPrEx>
        <w:trPr>
          <w:trHeight w:val="20" w:hRule="atLeast"/>
          <w:jc w:val="center"/>
        </w:trPr>
        <w:tc>
          <w:tcPr>
            <w:tcW w:w="1571" w:type="dxa"/>
            <w:vMerge w:val="continue"/>
            <w:tcBorders>
              <w:left w:val="single" w:color="auto" w:sz="8" w:space="0"/>
              <w:right w:val="single" w:color="auto" w:sz="8" w:space="0"/>
            </w:tcBorders>
            <w:shd w:val="clear" w:color="auto" w:fill="F1F1F1" w:themeFill="background1" w:themeFillShade="F2"/>
            <w:vAlign w:val="center"/>
          </w:tcPr>
          <w:p>
            <w:pPr>
              <w:widowControl/>
              <w:spacing w:after="0" w:line="240" w:lineRule="auto"/>
              <w:jc w:val="center"/>
              <w:rPr>
                <w:rFonts w:ascii="华文宋体" w:hAnsi="华文宋体" w:eastAsia="华文宋体" w:cs="宋体"/>
                <w:color w:val="000000"/>
                <w:kern w:val="0"/>
                <w:sz w:val="22"/>
              </w:rPr>
            </w:pPr>
          </w:p>
        </w:tc>
        <w:tc>
          <w:tcPr>
            <w:tcW w:w="1276" w:type="dxa"/>
            <w:tcBorders>
              <w:top w:val="nil"/>
              <w:left w:val="nil"/>
              <w:bottom w:val="single" w:color="auto" w:sz="8" w:space="0"/>
              <w:right w:val="single" w:color="auto" w:sz="8" w:space="0"/>
            </w:tcBorders>
            <w:shd w:val="clear" w:color="auto" w:fill="F1F1F1" w:themeFill="background1" w:themeFillShade="F2"/>
          </w:tcPr>
          <w:p>
            <w:pPr>
              <w:widowControl/>
              <w:spacing w:after="0" w:line="240" w:lineRule="auto"/>
              <w:jc w:val="center"/>
              <w:rPr>
                <w:rFonts w:ascii="华文宋体" w:hAnsi="华文宋体" w:eastAsia="华文宋体" w:cs="Times New Roman"/>
                <w:color w:val="000000"/>
                <w:kern w:val="0"/>
                <w:sz w:val="22"/>
              </w:rPr>
            </w:pPr>
            <w:r>
              <w:rPr>
                <w:rFonts w:ascii="华文宋体" w:hAnsi="华文宋体" w:eastAsia="华文宋体" w:cs="Times New Roman"/>
                <w:color w:val="000000"/>
                <w:kern w:val="0"/>
                <w:sz w:val="22"/>
              </w:rPr>
              <w:t>GCC-L04</w:t>
            </w:r>
          </w:p>
        </w:tc>
        <w:tc>
          <w:tcPr>
            <w:tcW w:w="3827" w:type="dxa"/>
            <w:tcBorders>
              <w:top w:val="nil"/>
              <w:left w:val="nil"/>
              <w:bottom w:val="single" w:color="auto" w:sz="8" w:space="0"/>
              <w:right w:val="single" w:color="auto" w:sz="8" w:space="0"/>
            </w:tcBorders>
            <w:shd w:val="clear" w:color="auto" w:fill="F1F1F1" w:themeFill="background1" w:themeFillShade="F2"/>
            <w:vAlign w:val="center"/>
          </w:tcPr>
          <w:p>
            <w:pPr>
              <w:widowControl/>
              <w:spacing w:after="0" w:line="240" w:lineRule="auto"/>
              <w:jc w:val="center"/>
              <w:rPr>
                <w:rFonts w:ascii="华文宋体" w:hAnsi="华文宋体" w:eastAsia="华文宋体" w:cs="宋体"/>
                <w:color w:val="000000"/>
                <w:kern w:val="0"/>
                <w:sz w:val="22"/>
              </w:rPr>
            </w:pPr>
            <w:r>
              <w:rPr>
                <w:rFonts w:ascii="华文宋体" w:hAnsi="华文宋体" w:eastAsia="华文宋体" w:cs="宋体"/>
                <w:color w:val="000000"/>
                <w:kern w:val="0"/>
                <w:sz w:val="22"/>
              </w:rPr>
              <w:t>全球胜任力在中国</w:t>
            </w:r>
          </w:p>
        </w:tc>
        <w:tc>
          <w:tcPr>
            <w:tcW w:w="567" w:type="dxa"/>
            <w:tcBorders>
              <w:top w:val="nil"/>
              <w:left w:val="nil"/>
              <w:bottom w:val="single" w:color="auto" w:sz="8" w:space="0"/>
              <w:right w:val="single" w:color="auto" w:sz="8" w:space="0"/>
            </w:tcBorders>
            <w:shd w:val="clear" w:color="auto" w:fill="F1F1F1" w:themeFill="background1" w:themeFillShade="F2"/>
            <w:vAlign w:val="center"/>
          </w:tcPr>
          <w:p>
            <w:pPr>
              <w:widowControl/>
              <w:spacing w:after="0" w:line="240" w:lineRule="auto"/>
              <w:jc w:val="center"/>
              <w:rPr>
                <w:rFonts w:ascii="华文宋体" w:hAnsi="华文宋体" w:eastAsia="华文宋体" w:cs="Times New Roman"/>
                <w:color w:val="000000"/>
                <w:kern w:val="0"/>
                <w:sz w:val="22"/>
              </w:rPr>
            </w:pPr>
            <w:r>
              <w:rPr>
                <w:rFonts w:ascii="华文宋体" w:hAnsi="华文宋体" w:eastAsia="华文宋体" w:cs="Times New Roman"/>
                <w:color w:val="000000"/>
                <w:kern w:val="0"/>
                <w:sz w:val="22"/>
              </w:rPr>
              <w:t>1-2</w:t>
            </w:r>
          </w:p>
        </w:tc>
        <w:tc>
          <w:tcPr>
            <w:tcW w:w="709" w:type="dxa"/>
            <w:tcBorders>
              <w:top w:val="nil"/>
              <w:left w:val="nil"/>
              <w:bottom w:val="single" w:color="auto" w:sz="8" w:space="0"/>
              <w:right w:val="single" w:color="auto" w:sz="8" w:space="0"/>
            </w:tcBorders>
            <w:shd w:val="clear" w:color="auto" w:fill="F1F1F1" w:themeFill="background1" w:themeFillShade="F2"/>
            <w:vAlign w:val="center"/>
          </w:tcPr>
          <w:p>
            <w:pPr>
              <w:widowControl/>
              <w:spacing w:after="0" w:line="240" w:lineRule="auto"/>
              <w:jc w:val="center"/>
              <w:rPr>
                <w:rFonts w:ascii="华文宋体" w:hAnsi="华文宋体" w:eastAsia="华文宋体" w:cs="Times New Roman"/>
                <w:color w:val="000000"/>
                <w:kern w:val="0"/>
                <w:sz w:val="22"/>
              </w:rPr>
            </w:pPr>
          </w:p>
        </w:tc>
        <w:tc>
          <w:tcPr>
            <w:tcW w:w="1112" w:type="dxa"/>
            <w:tcBorders>
              <w:top w:val="nil"/>
              <w:left w:val="nil"/>
              <w:bottom w:val="single" w:color="auto" w:sz="8" w:space="0"/>
              <w:right w:val="single" w:color="auto" w:sz="8" w:space="0"/>
            </w:tcBorders>
            <w:shd w:val="clear" w:color="auto" w:fill="F1F1F1" w:themeFill="background1" w:themeFillShade="F2"/>
            <w:vAlign w:val="center"/>
          </w:tcPr>
          <w:p>
            <w:pPr>
              <w:widowControl/>
              <w:spacing w:after="0" w:line="240" w:lineRule="auto"/>
              <w:jc w:val="center"/>
              <w:rPr>
                <w:rFonts w:ascii="华文宋体" w:hAnsi="华文宋体" w:eastAsia="华文宋体" w:cs="Times New Roman"/>
                <w:color w:val="000000"/>
                <w:kern w:val="0"/>
                <w:sz w:val="22"/>
              </w:rPr>
            </w:pPr>
          </w:p>
        </w:tc>
      </w:tr>
      <w:tr>
        <w:tblPrEx>
          <w:tblCellMar>
            <w:top w:w="0" w:type="dxa"/>
            <w:left w:w="108" w:type="dxa"/>
            <w:bottom w:w="0" w:type="dxa"/>
            <w:right w:w="108" w:type="dxa"/>
          </w:tblCellMar>
        </w:tblPrEx>
        <w:trPr>
          <w:trHeight w:val="20" w:hRule="atLeast"/>
          <w:jc w:val="center"/>
        </w:trPr>
        <w:tc>
          <w:tcPr>
            <w:tcW w:w="1571" w:type="dxa"/>
            <w:vMerge w:val="continue"/>
            <w:tcBorders>
              <w:left w:val="single" w:color="auto" w:sz="8" w:space="0"/>
              <w:right w:val="single" w:color="auto" w:sz="8" w:space="0"/>
            </w:tcBorders>
            <w:shd w:val="clear" w:color="auto" w:fill="F1F1F1" w:themeFill="background1" w:themeFillShade="F2"/>
            <w:vAlign w:val="center"/>
          </w:tcPr>
          <w:p>
            <w:pPr>
              <w:widowControl/>
              <w:spacing w:after="0" w:line="240" w:lineRule="auto"/>
              <w:jc w:val="center"/>
              <w:rPr>
                <w:rFonts w:ascii="华文宋体" w:hAnsi="华文宋体" w:eastAsia="华文宋体" w:cs="Times New Roman"/>
                <w:color w:val="000000"/>
                <w:kern w:val="0"/>
                <w:sz w:val="22"/>
              </w:rPr>
            </w:pPr>
          </w:p>
        </w:tc>
        <w:tc>
          <w:tcPr>
            <w:tcW w:w="1276" w:type="dxa"/>
            <w:tcBorders>
              <w:top w:val="nil"/>
              <w:left w:val="nil"/>
              <w:bottom w:val="single" w:color="auto" w:sz="8" w:space="0"/>
              <w:right w:val="single" w:color="auto" w:sz="8" w:space="0"/>
            </w:tcBorders>
            <w:shd w:val="clear" w:color="auto" w:fill="F1F1F1" w:themeFill="background1" w:themeFillShade="F2"/>
          </w:tcPr>
          <w:p>
            <w:pPr>
              <w:widowControl/>
              <w:spacing w:after="0" w:line="240" w:lineRule="auto"/>
              <w:jc w:val="center"/>
              <w:rPr>
                <w:rFonts w:ascii="华文宋体" w:hAnsi="华文宋体" w:eastAsia="华文宋体" w:cs="Times New Roman"/>
                <w:color w:val="000000"/>
                <w:kern w:val="0"/>
                <w:sz w:val="22"/>
              </w:rPr>
            </w:pPr>
            <w:r>
              <w:rPr>
                <w:rFonts w:ascii="华文宋体" w:hAnsi="华文宋体" w:eastAsia="华文宋体" w:cs="Times New Roman"/>
                <w:color w:val="000000"/>
                <w:kern w:val="0"/>
                <w:sz w:val="22"/>
              </w:rPr>
              <w:t>GCC-L05</w:t>
            </w:r>
          </w:p>
        </w:tc>
        <w:tc>
          <w:tcPr>
            <w:tcW w:w="3827" w:type="dxa"/>
            <w:tcBorders>
              <w:top w:val="nil"/>
              <w:left w:val="nil"/>
              <w:bottom w:val="single" w:color="auto" w:sz="8" w:space="0"/>
              <w:right w:val="single" w:color="auto" w:sz="8" w:space="0"/>
            </w:tcBorders>
            <w:shd w:val="clear" w:color="auto" w:fill="F1F1F1" w:themeFill="background1" w:themeFillShade="F2"/>
            <w:vAlign w:val="center"/>
          </w:tcPr>
          <w:p>
            <w:pPr>
              <w:widowControl/>
              <w:spacing w:after="0" w:line="240" w:lineRule="auto"/>
              <w:jc w:val="center"/>
              <w:rPr>
                <w:rFonts w:ascii="华文宋体" w:hAnsi="华文宋体" w:eastAsia="华文宋体" w:cs="Times New Roman"/>
                <w:color w:val="000000"/>
                <w:kern w:val="0"/>
                <w:sz w:val="22"/>
              </w:rPr>
            </w:pPr>
            <w:r>
              <w:rPr>
                <w:rFonts w:ascii="华文宋体" w:hAnsi="华文宋体" w:eastAsia="华文宋体" w:cs="宋体"/>
                <w:color w:val="000000"/>
                <w:kern w:val="0"/>
                <w:sz w:val="22"/>
              </w:rPr>
              <w:t>全球化时代国际教育发展</w:t>
            </w:r>
          </w:p>
        </w:tc>
        <w:tc>
          <w:tcPr>
            <w:tcW w:w="567" w:type="dxa"/>
            <w:tcBorders>
              <w:top w:val="nil"/>
              <w:left w:val="nil"/>
              <w:bottom w:val="single" w:color="auto" w:sz="8" w:space="0"/>
              <w:right w:val="single" w:color="auto" w:sz="8" w:space="0"/>
            </w:tcBorders>
            <w:shd w:val="clear" w:color="auto" w:fill="F1F1F1" w:themeFill="background1" w:themeFillShade="F2"/>
            <w:vAlign w:val="center"/>
          </w:tcPr>
          <w:p>
            <w:pPr>
              <w:widowControl/>
              <w:spacing w:after="0" w:line="240" w:lineRule="auto"/>
              <w:jc w:val="center"/>
              <w:rPr>
                <w:rFonts w:ascii="华文宋体" w:hAnsi="华文宋体" w:eastAsia="华文宋体" w:cs="Times New Roman"/>
                <w:color w:val="000000"/>
                <w:kern w:val="0"/>
                <w:sz w:val="22"/>
              </w:rPr>
            </w:pPr>
            <w:r>
              <w:rPr>
                <w:rFonts w:ascii="华文宋体" w:hAnsi="华文宋体" w:eastAsia="华文宋体" w:cs="Times New Roman"/>
                <w:color w:val="000000"/>
                <w:kern w:val="0"/>
                <w:sz w:val="22"/>
              </w:rPr>
              <w:t>1-2</w:t>
            </w:r>
          </w:p>
        </w:tc>
        <w:tc>
          <w:tcPr>
            <w:tcW w:w="709" w:type="dxa"/>
            <w:tcBorders>
              <w:top w:val="nil"/>
              <w:left w:val="nil"/>
              <w:bottom w:val="single" w:color="auto" w:sz="8" w:space="0"/>
              <w:right w:val="single" w:color="auto" w:sz="8" w:space="0"/>
            </w:tcBorders>
            <w:shd w:val="clear" w:color="auto" w:fill="F1F1F1" w:themeFill="background1" w:themeFillShade="F2"/>
            <w:vAlign w:val="center"/>
          </w:tcPr>
          <w:p>
            <w:pPr>
              <w:widowControl/>
              <w:spacing w:after="0" w:line="240" w:lineRule="auto"/>
              <w:jc w:val="center"/>
              <w:rPr>
                <w:rFonts w:ascii="华文宋体" w:hAnsi="华文宋体" w:eastAsia="华文宋体" w:cs="Times New Roman"/>
                <w:color w:val="000000"/>
                <w:kern w:val="0"/>
                <w:sz w:val="22"/>
              </w:rPr>
            </w:pPr>
          </w:p>
        </w:tc>
        <w:tc>
          <w:tcPr>
            <w:tcW w:w="1112" w:type="dxa"/>
            <w:tcBorders>
              <w:top w:val="nil"/>
              <w:left w:val="nil"/>
              <w:bottom w:val="single" w:color="auto" w:sz="8" w:space="0"/>
              <w:right w:val="single" w:color="auto" w:sz="8" w:space="0"/>
            </w:tcBorders>
            <w:shd w:val="clear" w:color="auto" w:fill="F1F1F1" w:themeFill="background1" w:themeFillShade="F2"/>
            <w:vAlign w:val="center"/>
          </w:tcPr>
          <w:p>
            <w:pPr>
              <w:widowControl/>
              <w:spacing w:after="0" w:line="240" w:lineRule="auto"/>
              <w:jc w:val="center"/>
              <w:rPr>
                <w:rFonts w:ascii="华文宋体" w:hAnsi="华文宋体" w:eastAsia="华文宋体" w:cs="Times New Roman"/>
                <w:color w:val="000000"/>
                <w:kern w:val="0"/>
                <w:sz w:val="22"/>
              </w:rPr>
            </w:pPr>
          </w:p>
        </w:tc>
      </w:tr>
      <w:tr>
        <w:tblPrEx>
          <w:tblCellMar>
            <w:top w:w="0" w:type="dxa"/>
            <w:left w:w="108" w:type="dxa"/>
            <w:bottom w:w="0" w:type="dxa"/>
            <w:right w:w="108" w:type="dxa"/>
          </w:tblCellMar>
        </w:tblPrEx>
        <w:trPr>
          <w:trHeight w:val="20" w:hRule="atLeast"/>
          <w:jc w:val="center"/>
        </w:trPr>
        <w:tc>
          <w:tcPr>
            <w:tcW w:w="1571" w:type="dxa"/>
            <w:vMerge w:val="continue"/>
            <w:tcBorders>
              <w:left w:val="single" w:color="auto" w:sz="8" w:space="0"/>
              <w:right w:val="single" w:color="auto" w:sz="8" w:space="0"/>
            </w:tcBorders>
            <w:shd w:val="clear" w:color="auto" w:fill="F1F1F1" w:themeFill="background1" w:themeFillShade="F2"/>
            <w:vAlign w:val="center"/>
          </w:tcPr>
          <w:p>
            <w:pPr>
              <w:widowControl/>
              <w:spacing w:after="0" w:line="240" w:lineRule="auto"/>
              <w:jc w:val="center"/>
              <w:rPr>
                <w:rFonts w:ascii="华文宋体" w:hAnsi="华文宋体" w:eastAsia="华文宋体" w:cs="Times New Roman"/>
                <w:color w:val="000000"/>
                <w:kern w:val="0"/>
                <w:sz w:val="22"/>
              </w:rPr>
            </w:pPr>
          </w:p>
        </w:tc>
        <w:tc>
          <w:tcPr>
            <w:tcW w:w="1276" w:type="dxa"/>
            <w:tcBorders>
              <w:top w:val="nil"/>
              <w:left w:val="nil"/>
              <w:bottom w:val="single" w:color="auto" w:sz="8" w:space="0"/>
              <w:right w:val="single" w:color="auto" w:sz="8" w:space="0"/>
            </w:tcBorders>
            <w:shd w:val="clear" w:color="auto" w:fill="F1F1F1" w:themeFill="background1" w:themeFillShade="F2"/>
          </w:tcPr>
          <w:p>
            <w:pPr>
              <w:widowControl/>
              <w:spacing w:after="0" w:line="240" w:lineRule="auto"/>
              <w:jc w:val="center"/>
              <w:rPr>
                <w:rFonts w:ascii="华文宋体" w:hAnsi="华文宋体" w:eastAsia="华文宋体" w:cs="Times New Roman"/>
                <w:color w:val="000000"/>
                <w:kern w:val="0"/>
                <w:sz w:val="22"/>
              </w:rPr>
            </w:pPr>
            <w:r>
              <w:rPr>
                <w:rFonts w:ascii="华文宋体" w:hAnsi="华文宋体" w:eastAsia="华文宋体" w:cs="Times New Roman"/>
                <w:color w:val="000000"/>
                <w:kern w:val="0"/>
                <w:sz w:val="22"/>
              </w:rPr>
              <w:t>GCC-L06</w:t>
            </w:r>
          </w:p>
        </w:tc>
        <w:tc>
          <w:tcPr>
            <w:tcW w:w="3827" w:type="dxa"/>
            <w:tcBorders>
              <w:top w:val="nil"/>
              <w:left w:val="nil"/>
              <w:bottom w:val="single" w:color="auto" w:sz="8" w:space="0"/>
              <w:right w:val="single" w:color="auto" w:sz="8" w:space="0"/>
            </w:tcBorders>
            <w:shd w:val="clear" w:color="auto" w:fill="F1F1F1" w:themeFill="background1" w:themeFillShade="F2"/>
            <w:vAlign w:val="center"/>
          </w:tcPr>
          <w:p>
            <w:pPr>
              <w:widowControl/>
              <w:spacing w:after="0" w:line="240" w:lineRule="auto"/>
              <w:jc w:val="center"/>
              <w:rPr>
                <w:rFonts w:ascii="华文宋体" w:hAnsi="华文宋体" w:eastAsia="华文宋体" w:cs="Times New Roman"/>
                <w:color w:val="000000"/>
                <w:kern w:val="0"/>
                <w:sz w:val="22"/>
              </w:rPr>
            </w:pPr>
            <w:r>
              <w:rPr>
                <w:rFonts w:hint="eastAsia" w:ascii="华文宋体" w:hAnsi="华文宋体" w:eastAsia="华文宋体" w:cs="宋体"/>
                <w:color w:val="000000"/>
                <w:kern w:val="0"/>
                <w:sz w:val="22"/>
              </w:rPr>
              <w:t>大变局下的生涯规划与职业发展</w:t>
            </w:r>
          </w:p>
        </w:tc>
        <w:tc>
          <w:tcPr>
            <w:tcW w:w="567" w:type="dxa"/>
            <w:tcBorders>
              <w:top w:val="nil"/>
              <w:left w:val="nil"/>
              <w:bottom w:val="single" w:color="auto" w:sz="8" w:space="0"/>
              <w:right w:val="single" w:color="auto" w:sz="8" w:space="0"/>
            </w:tcBorders>
            <w:shd w:val="clear" w:color="auto" w:fill="F1F1F1" w:themeFill="background1" w:themeFillShade="F2"/>
            <w:vAlign w:val="center"/>
          </w:tcPr>
          <w:p>
            <w:pPr>
              <w:widowControl/>
              <w:spacing w:after="0" w:line="240" w:lineRule="auto"/>
              <w:jc w:val="center"/>
              <w:rPr>
                <w:rFonts w:ascii="华文宋体" w:hAnsi="华文宋体" w:eastAsia="华文宋体" w:cs="Times New Roman"/>
                <w:color w:val="000000"/>
                <w:kern w:val="0"/>
                <w:sz w:val="22"/>
              </w:rPr>
            </w:pPr>
            <w:r>
              <w:rPr>
                <w:rFonts w:ascii="华文宋体" w:hAnsi="华文宋体" w:eastAsia="华文宋体" w:cs="Times New Roman"/>
                <w:color w:val="000000"/>
                <w:kern w:val="0"/>
                <w:sz w:val="22"/>
              </w:rPr>
              <w:t>1-2</w:t>
            </w:r>
          </w:p>
        </w:tc>
        <w:tc>
          <w:tcPr>
            <w:tcW w:w="709" w:type="dxa"/>
            <w:tcBorders>
              <w:top w:val="nil"/>
              <w:left w:val="nil"/>
              <w:bottom w:val="single" w:color="auto" w:sz="8" w:space="0"/>
              <w:right w:val="single" w:color="auto" w:sz="8" w:space="0"/>
            </w:tcBorders>
            <w:shd w:val="clear" w:color="auto" w:fill="F1F1F1" w:themeFill="background1" w:themeFillShade="F2"/>
            <w:vAlign w:val="center"/>
          </w:tcPr>
          <w:p>
            <w:pPr>
              <w:widowControl/>
              <w:spacing w:after="0" w:line="240" w:lineRule="auto"/>
              <w:jc w:val="center"/>
              <w:rPr>
                <w:rFonts w:ascii="华文宋体" w:hAnsi="华文宋体" w:eastAsia="华文宋体" w:cs="Times New Roman"/>
                <w:color w:val="000000"/>
                <w:kern w:val="0"/>
                <w:sz w:val="22"/>
              </w:rPr>
            </w:pPr>
          </w:p>
        </w:tc>
        <w:tc>
          <w:tcPr>
            <w:tcW w:w="1112" w:type="dxa"/>
            <w:tcBorders>
              <w:top w:val="nil"/>
              <w:left w:val="nil"/>
              <w:bottom w:val="single" w:color="auto" w:sz="8" w:space="0"/>
              <w:right w:val="single" w:color="auto" w:sz="8" w:space="0"/>
            </w:tcBorders>
            <w:shd w:val="clear" w:color="auto" w:fill="F1F1F1" w:themeFill="background1" w:themeFillShade="F2"/>
            <w:vAlign w:val="center"/>
          </w:tcPr>
          <w:p>
            <w:pPr>
              <w:widowControl/>
              <w:spacing w:after="0" w:line="240" w:lineRule="auto"/>
              <w:jc w:val="center"/>
              <w:rPr>
                <w:rFonts w:ascii="华文宋体" w:hAnsi="华文宋体" w:eastAsia="华文宋体" w:cs="Times New Roman"/>
                <w:color w:val="000000"/>
                <w:kern w:val="0"/>
                <w:sz w:val="22"/>
              </w:rPr>
            </w:pPr>
          </w:p>
        </w:tc>
      </w:tr>
      <w:tr>
        <w:tblPrEx>
          <w:tblCellMar>
            <w:top w:w="0" w:type="dxa"/>
            <w:left w:w="108" w:type="dxa"/>
            <w:bottom w:w="0" w:type="dxa"/>
            <w:right w:w="108" w:type="dxa"/>
          </w:tblCellMar>
        </w:tblPrEx>
        <w:trPr>
          <w:trHeight w:val="20" w:hRule="atLeast"/>
          <w:jc w:val="center"/>
        </w:trPr>
        <w:tc>
          <w:tcPr>
            <w:tcW w:w="1571" w:type="dxa"/>
            <w:vMerge w:val="continue"/>
            <w:tcBorders>
              <w:left w:val="single" w:color="auto" w:sz="8" w:space="0"/>
              <w:right w:val="single" w:color="auto" w:sz="8" w:space="0"/>
            </w:tcBorders>
            <w:shd w:val="clear" w:color="auto" w:fill="F1F1F1" w:themeFill="background1" w:themeFillShade="F2"/>
            <w:vAlign w:val="center"/>
          </w:tcPr>
          <w:p>
            <w:pPr>
              <w:widowControl/>
              <w:spacing w:after="0" w:line="240" w:lineRule="auto"/>
              <w:jc w:val="center"/>
              <w:rPr>
                <w:rFonts w:ascii="华文宋体" w:hAnsi="华文宋体" w:eastAsia="华文宋体" w:cs="Times New Roman"/>
                <w:color w:val="000000"/>
                <w:kern w:val="0"/>
                <w:sz w:val="22"/>
              </w:rPr>
            </w:pPr>
          </w:p>
        </w:tc>
        <w:tc>
          <w:tcPr>
            <w:tcW w:w="1276" w:type="dxa"/>
            <w:tcBorders>
              <w:top w:val="nil"/>
              <w:left w:val="nil"/>
              <w:bottom w:val="single" w:color="auto" w:sz="8" w:space="0"/>
              <w:right w:val="single" w:color="auto" w:sz="8" w:space="0"/>
            </w:tcBorders>
            <w:shd w:val="clear" w:color="auto" w:fill="F1F1F1" w:themeFill="background1" w:themeFillShade="F2"/>
          </w:tcPr>
          <w:p>
            <w:pPr>
              <w:widowControl/>
              <w:spacing w:after="0" w:line="240" w:lineRule="auto"/>
              <w:jc w:val="center"/>
              <w:rPr>
                <w:rFonts w:ascii="华文宋体" w:hAnsi="华文宋体" w:eastAsia="华文宋体" w:cs="Times New Roman"/>
                <w:color w:val="000000"/>
                <w:kern w:val="0"/>
                <w:sz w:val="22"/>
              </w:rPr>
            </w:pPr>
            <w:r>
              <w:rPr>
                <w:rFonts w:ascii="华文宋体" w:hAnsi="华文宋体" w:eastAsia="华文宋体" w:cs="Times New Roman"/>
                <w:color w:val="000000"/>
                <w:kern w:val="0"/>
                <w:sz w:val="22"/>
              </w:rPr>
              <w:t>GCC-L07</w:t>
            </w:r>
          </w:p>
        </w:tc>
        <w:tc>
          <w:tcPr>
            <w:tcW w:w="3827" w:type="dxa"/>
            <w:tcBorders>
              <w:top w:val="nil"/>
              <w:left w:val="nil"/>
              <w:bottom w:val="single" w:color="auto" w:sz="8" w:space="0"/>
              <w:right w:val="single" w:color="auto" w:sz="8" w:space="0"/>
            </w:tcBorders>
            <w:shd w:val="clear" w:color="auto" w:fill="F1F1F1" w:themeFill="background1" w:themeFillShade="F2"/>
            <w:vAlign w:val="center"/>
          </w:tcPr>
          <w:p>
            <w:pPr>
              <w:widowControl/>
              <w:spacing w:after="0" w:line="240" w:lineRule="auto"/>
              <w:jc w:val="center"/>
              <w:rPr>
                <w:rFonts w:ascii="华文宋体" w:hAnsi="华文宋体" w:eastAsia="华文宋体" w:cs="Times New Roman"/>
                <w:color w:val="000000"/>
                <w:kern w:val="0"/>
                <w:sz w:val="22"/>
              </w:rPr>
            </w:pPr>
            <w:r>
              <w:rPr>
                <w:rFonts w:ascii="华文宋体" w:hAnsi="华文宋体" w:eastAsia="华文宋体" w:cs="宋体"/>
                <w:color w:val="000000"/>
                <w:kern w:val="0"/>
                <w:sz w:val="22"/>
              </w:rPr>
              <w:t>全球化发展与多边主义</w:t>
            </w:r>
          </w:p>
        </w:tc>
        <w:tc>
          <w:tcPr>
            <w:tcW w:w="567" w:type="dxa"/>
            <w:tcBorders>
              <w:top w:val="nil"/>
              <w:left w:val="nil"/>
              <w:bottom w:val="single" w:color="auto" w:sz="8" w:space="0"/>
              <w:right w:val="single" w:color="auto" w:sz="8" w:space="0"/>
            </w:tcBorders>
            <w:shd w:val="clear" w:color="auto" w:fill="F1F1F1" w:themeFill="background1" w:themeFillShade="F2"/>
            <w:vAlign w:val="center"/>
          </w:tcPr>
          <w:p>
            <w:pPr>
              <w:widowControl/>
              <w:spacing w:after="0" w:line="240" w:lineRule="auto"/>
              <w:jc w:val="center"/>
              <w:rPr>
                <w:rFonts w:ascii="华文宋体" w:hAnsi="华文宋体" w:eastAsia="华文宋体" w:cs="Times New Roman"/>
                <w:color w:val="000000"/>
                <w:kern w:val="0"/>
                <w:sz w:val="22"/>
              </w:rPr>
            </w:pPr>
            <w:r>
              <w:rPr>
                <w:rFonts w:ascii="华文宋体" w:hAnsi="华文宋体" w:eastAsia="华文宋体" w:cs="Times New Roman"/>
                <w:color w:val="000000"/>
                <w:kern w:val="0"/>
                <w:sz w:val="22"/>
              </w:rPr>
              <w:t>1-2</w:t>
            </w:r>
          </w:p>
        </w:tc>
        <w:tc>
          <w:tcPr>
            <w:tcW w:w="709" w:type="dxa"/>
            <w:tcBorders>
              <w:top w:val="nil"/>
              <w:left w:val="nil"/>
              <w:bottom w:val="single" w:color="auto" w:sz="8" w:space="0"/>
              <w:right w:val="single" w:color="auto" w:sz="8" w:space="0"/>
            </w:tcBorders>
            <w:shd w:val="clear" w:color="auto" w:fill="F1F1F1" w:themeFill="background1" w:themeFillShade="F2"/>
            <w:vAlign w:val="center"/>
          </w:tcPr>
          <w:p>
            <w:pPr>
              <w:widowControl/>
              <w:spacing w:after="0" w:line="240" w:lineRule="auto"/>
              <w:jc w:val="center"/>
              <w:rPr>
                <w:rFonts w:ascii="华文宋体" w:hAnsi="华文宋体" w:eastAsia="华文宋体" w:cs="Times New Roman"/>
                <w:color w:val="000000"/>
                <w:kern w:val="0"/>
                <w:sz w:val="22"/>
              </w:rPr>
            </w:pPr>
          </w:p>
        </w:tc>
        <w:tc>
          <w:tcPr>
            <w:tcW w:w="1112" w:type="dxa"/>
            <w:tcBorders>
              <w:top w:val="nil"/>
              <w:left w:val="nil"/>
              <w:bottom w:val="single" w:color="auto" w:sz="8" w:space="0"/>
              <w:right w:val="single" w:color="auto" w:sz="8" w:space="0"/>
            </w:tcBorders>
            <w:shd w:val="clear" w:color="auto" w:fill="F1F1F1" w:themeFill="background1" w:themeFillShade="F2"/>
            <w:vAlign w:val="center"/>
          </w:tcPr>
          <w:p>
            <w:pPr>
              <w:widowControl/>
              <w:spacing w:after="0" w:line="240" w:lineRule="auto"/>
              <w:jc w:val="center"/>
              <w:rPr>
                <w:rFonts w:ascii="华文宋体" w:hAnsi="华文宋体" w:eastAsia="华文宋体" w:cs="Times New Roman"/>
                <w:color w:val="000000"/>
                <w:kern w:val="0"/>
                <w:sz w:val="22"/>
              </w:rPr>
            </w:pPr>
          </w:p>
        </w:tc>
      </w:tr>
      <w:tr>
        <w:tblPrEx>
          <w:tblCellMar>
            <w:top w:w="0" w:type="dxa"/>
            <w:left w:w="108" w:type="dxa"/>
            <w:bottom w:w="0" w:type="dxa"/>
            <w:right w:w="108" w:type="dxa"/>
          </w:tblCellMar>
        </w:tblPrEx>
        <w:trPr>
          <w:trHeight w:val="20" w:hRule="atLeast"/>
          <w:jc w:val="center"/>
        </w:trPr>
        <w:tc>
          <w:tcPr>
            <w:tcW w:w="1571" w:type="dxa"/>
            <w:vMerge w:val="continue"/>
            <w:tcBorders>
              <w:left w:val="single" w:color="auto" w:sz="8" w:space="0"/>
              <w:right w:val="single" w:color="auto" w:sz="8" w:space="0"/>
            </w:tcBorders>
            <w:shd w:val="clear" w:color="auto" w:fill="F1F1F1" w:themeFill="background1" w:themeFillShade="F2"/>
            <w:vAlign w:val="center"/>
          </w:tcPr>
          <w:p>
            <w:pPr>
              <w:widowControl/>
              <w:spacing w:after="0" w:line="240" w:lineRule="auto"/>
              <w:jc w:val="center"/>
              <w:rPr>
                <w:rFonts w:ascii="华文宋体" w:hAnsi="华文宋体" w:eastAsia="华文宋体" w:cs="Times New Roman"/>
                <w:color w:val="000000"/>
                <w:kern w:val="0"/>
                <w:sz w:val="22"/>
              </w:rPr>
            </w:pPr>
          </w:p>
        </w:tc>
        <w:tc>
          <w:tcPr>
            <w:tcW w:w="1276" w:type="dxa"/>
            <w:tcBorders>
              <w:top w:val="nil"/>
              <w:left w:val="nil"/>
              <w:bottom w:val="single" w:color="auto" w:sz="8" w:space="0"/>
              <w:right w:val="single" w:color="auto" w:sz="8" w:space="0"/>
            </w:tcBorders>
            <w:shd w:val="clear" w:color="auto" w:fill="F1F1F1" w:themeFill="background1" w:themeFillShade="F2"/>
          </w:tcPr>
          <w:p>
            <w:pPr>
              <w:widowControl/>
              <w:spacing w:after="0" w:line="240" w:lineRule="auto"/>
              <w:jc w:val="center"/>
              <w:rPr>
                <w:rFonts w:ascii="华文宋体" w:hAnsi="华文宋体" w:eastAsia="华文宋体" w:cs="Times New Roman"/>
                <w:color w:val="000000"/>
                <w:kern w:val="0"/>
                <w:sz w:val="22"/>
              </w:rPr>
            </w:pPr>
            <w:r>
              <w:rPr>
                <w:rFonts w:ascii="华文宋体" w:hAnsi="华文宋体" w:eastAsia="华文宋体" w:cs="Times New Roman"/>
                <w:color w:val="000000"/>
                <w:kern w:val="0"/>
                <w:sz w:val="22"/>
              </w:rPr>
              <w:t>GCC-L08</w:t>
            </w:r>
          </w:p>
        </w:tc>
        <w:tc>
          <w:tcPr>
            <w:tcW w:w="3827" w:type="dxa"/>
            <w:tcBorders>
              <w:top w:val="nil"/>
              <w:left w:val="nil"/>
              <w:bottom w:val="single" w:color="auto" w:sz="8" w:space="0"/>
              <w:right w:val="single" w:color="auto" w:sz="8" w:space="0"/>
            </w:tcBorders>
            <w:shd w:val="clear" w:color="auto" w:fill="F1F1F1" w:themeFill="background1" w:themeFillShade="F2"/>
            <w:vAlign w:val="center"/>
          </w:tcPr>
          <w:p>
            <w:pPr>
              <w:widowControl/>
              <w:spacing w:after="0" w:line="240" w:lineRule="auto"/>
              <w:jc w:val="center"/>
              <w:rPr>
                <w:rFonts w:ascii="华文宋体" w:hAnsi="华文宋体" w:eastAsia="华文宋体" w:cs="宋体"/>
                <w:color w:val="000000"/>
                <w:kern w:val="0"/>
                <w:sz w:val="22"/>
              </w:rPr>
            </w:pPr>
            <w:r>
              <w:rPr>
                <w:rFonts w:ascii="华文宋体" w:hAnsi="华文宋体" w:eastAsia="华文宋体" w:cs="宋体"/>
                <w:color w:val="000000"/>
                <w:kern w:val="0"/>
                <w:sz w:val="22"/>
              </w:rPr>
              <w:t>审辩式思维（批判性思维）</w:t>
            </w:r>
          </w:p>
        </w:tc>
        <w:tc>
          <w:tcPr>
            <w:tcW w:w="567" w:type="dxa"/>
            <w:tcBorders>
              <w:top w:val="nil"/>
              <w:left w:val="nil"/>
              <w:bottom w:val="single" w:color="auto" w:sz="8" w:space="0"/>
              <w:right w:val="single" w:color="auto" w:sz="8" w:space="0"/>
            </w:tcBorders>
            <w:shd w:val="clear" w:color="auto" w:fill="F1F1F1" w:themeFill="background1" w:themeFillShade="F2"/>
            <w:vAlign w:val="center"/>
          </w:tcPr>
          <w:p>
            <w:pPr>
              <w:widowControl/>
              <w:spacing w:after="0" w:line="240" w:lineRule="auto"/>
              <w:jc w:val="center"/>
              <w:rPr>
                <w:rFonts w:ascii="华文宋体" w:hAnsi="华文宋体" w:eastAsia="华文宋体" w:cs="Times New Roman"/>
                <w:color w:val="000000"/>
                <w:kern w:val="0"/>
                <w:sz w:val="22"/>
              </w:rPr>
            </w:pPr>
            <w:r>
              <w:rPr>
                <w:rFonts w:ascii="华文宋体" w:hAnsi="华文宋体" w:eastAsia="华文宋体" w:cs="Times New Roman"/>
                <w:color w:val="000000"/>
                <w:kern w:val="0"/>
                <w:sz w:val="22"/>
              </w:rPr>
              <w:t>1-2</w:t>
            </w:r>
          </w:p>
        </w:tc>
        <w:tc>
          <w:tcPr>
            <w:tcW w:w="709" w:type="dxa"/>
            <w:tcBorders>
              <w:top w:val="nil"/>
              <w:left w:val="nil"/>
              <w:bottom w:val="single" w:color="auto" w:sz="8" w:space="0"/>
              <w:right w:val="single" w:color="auto" w:sz="8" w:space="0"/>
            </w:tcBorders>
            <w:shd w:val="clear" w:color="auto" w:fill="F1F1F1" w:themeFill="background1" w:themeFillShade="F2"/>
            <w:vAlign w:val="center"/>
          </w:tcPr>
          <w:p>
            <w:pPr>
              <w:widowControl/>
              <w:spacing w:after="0" w:line="240" w:lineRule="auto"/>
              <w:jc w:val="center"/>
              <w:rPr>
                <w:rFonts w:ascii="华文宋体" w:hAnsi="华文宋体" w:eastAsia="华文宋体" w:cs="Times New Roman"/>
                <w:color w:val="000000"/>
                <w:kern w:val="0"/>
                <w:sz w:val="22"/>
              </w:rPr>
            </w:pPr>
          </w:p>
        </w:tc>
        <w:tc>
          <w:tcPr>
            <w:tcW w:w="1112" w:type="dxa"/>
            <w:tcBorders>
              <w:top w:val="nil"/>
              <w:left w:val="nil"/>
              <w:bottom w:val="single" w:color="auto" w:sz="8" w:space="0"/>
              <w:right w:val="single" w:color="auto" w:sz="8" w:space="0"/>
            </w:tcBorders>
            <w:shd w:val="clear" w:color="auto" w:fill="F1F1F1" w:themeFill="background1" w:themeFillShade="F2"/>
            <w:vAlign w:val="center"/>
          </w:tcPr>
          <w:p>
            <w:pPr>
              <w:widowControl/>
              <w:spacing w:after="0" w:line="240" w:lineRule="auto"/>
              <w:jc w:val="center"/>
              <w:rPr>
                <w:rFonts w:ascii="华文宋体" w:hAnsi="华文宋体" w:eastAsia="华文宋体" w:cs="Times New Roman"/>
                <w:color w:val="000000"/>
                <w:kern w:val="0"/>
                <w:sz w:val="22"/>
              </w:rPr>
            </w:pPr>
          </w:p>
        </w:tc>
      </w:tr>
      <w:tr>
        <w:tblPrEx>
          <w:tblCellMar>
            <w:top w:w="0" w:type="dxa"/>
            <w:left w:w="108" w:type="dxa"/>
            <w:bottom w:w="0" w:type="dxa"/>
            <w:right w:w="108" w:type="dxa"/>
          </w:tblCellMar>
        </w:tblPrEx>
        <w:trPr>
          <w:trHeight w:val="20" w:hRule="atLeast"/>
          <w:jc w:val="center"/>
        </w:trPr>
        <w:tc>
          <w:tcPr>
            <w:tcW w:w="1571" w:type="dxa"/>
            <w:vMerge w:val="continue"/>
            <w:tcBorders>
              <w:left w:val="single" w:color="auto" w:sz="8" w:space="0"/>
              <w:bottom w:val="single" w:color="auto" w:sz="4" w:space="0"/>
              <w:right w:val="single" w:color="auto" w:sz="8" w:space="0"/>
            </w:tcBorders>
            <w:shd w:val="clear" w:color="auto" w:fill="F1F1F1" w:themeFill="background1" w:themeFillShade="F2"/>
            <w:vAlign w:val="center"/>
          </w:tcPr>
          <w:p>
            <w:pPr>
              <w:widowControl/>
              <w:spacing w:after="0" w:line="240" w:lineRule="auto"/>
              <w:jc w:val="center"/>
              <w:rPr>
                <w:rFonts w:ascii="华文宋体" w:hAnsi="华文宋体" w:eastAsia="华文宋体" w:cs="Times New Roman"/>
                <w:color w:val="000000"/>
                <w:kern w:val="0"/>
                <w:sz w:val="22"/>
              </w:rPr>
            </w:pPr>
          </w:p>
        </w:tc>
        <w:tc>
          <w:tcPr>
            <w:tcW w:w="1276" w:type="dxa"/>
            <w:tcBorders>
              <w:top w:val="nil"/>
              <w:left w:val="nil"/>
              <w:bottom w:val="single" w:color="auto" w:sz="4" w:space="0"/>
              <w:right w:val="single" w:color="auto" w:sz="8" w:space="0"/>
            </w:tcBorders>
            <w:shd w:val="clear" w:color="auto" w:fill="F1F1F1" w:themeFill="background1" w:themeFillShade="F2"/>
          </w:tcPr>
          <w:p>
            <w:pPr>
              <w:widowControl/>
              <w:spacing w:after="0" w:line="240" w:lineRule="auto"/>
              <w:jc w:val="center"/>
              <w:rPr>
                <w:rFonts w:ascii="华文宋体" w:hAnsi="华文宋体" w:eastAsia="华文宋体" w:cs="Times New Roman"/>
                <w:color w:val="000000"/>
                <w:kern w:val="0"/>
                <w:sz w:val="22"/>
              </w:rPr>
            </w:pPr>
            <w:r>
              <w:rPr>
                <w:rFonts w:ascii="华文宋体" w:hAnsi="华文宋体" w:eastAsia="华文宋体" w:cs="Times New Roman"/>
                <w:color w:val="000000"/>
                <w:kern w:val="0"/>
                <w:sz w:val="22"/>
              </w:rPr>
              <w:t>GCC-L09</w:t>
            </w:r>
          </w:p>
        </w:tc>
        <w:tc>
          <w:tcPr>
            <w:tcW w:w="3827" w:type="dxa"/>
            <w:tcBorders>
              <w:top w:val="nil"/>
              <w:left w:val="nil"/>
              <w:bottom w:val="single" w:color="auto" w:sz="4" w:space="0"/>
              <w:right w:val="single" w:color="auto" w:sz="8" w:space="0"/>
            </w:tcBorders>
            <w:shd w:val="clear" w:color="auto" w:fill="F1F1F1" w:themeFill="background1" w:themeFillShade="F2"/>
            <w:vAlign w:val="center"/>
          </w:tcPr>
          <w:p>
            <w:pPr>
              <w:widowControl/>
              <w:spacing w:after="0" w:line="240" w:lineRule="auto"/>
              <w:jc w:val="center"/>
              <w:rPr>
                <w:rFonts w:ascii="华文宋体" w:hAnsi="华文宋体" w:eastAsia="华文宋体" w:cs="Times New Roman"/>
                <w:color w:val="000000"/>
                <w:kern w:val="0"/>
                <w:sz w:val="22"/>
              </w:rPr>
            </w:pPr>
            <w:r>
              <w:rPr>
                <w:rFonts w:ascii="华文宋体" w:hAnsi="华文宋体" w:eastAsia="华文宋体" w:cs="宋体"/>
                <w:color w:val="000000"/>
                <w:kern w:val="0"/>
                <w:sz w:val="22"/>
              </w:rPr>
              <w:t>全球公共卫生危机与预防</w:t>
            </w:r>
          </w:p>
        </w:tc>
        <w:tc>
          <w:tcPr>
            <w:tcW w:w="567" w:type="dxa"/>
            <w:tcBorders>
              <w:top w:val="nil"/>
              <w:left w:val="nil"/>
              <w:bottom w:val="single" w:color="auto" w:sz="4" w:space="0"/>
              <w:right w:val="single" w:color="auto" w:sz="8" w:space="0"/>
            </w:tcBorders>
            <w:shd w:val="clear" w:color="auto" w:fill="F1F1F1" w:themeFill="background1" w:themeFillShade="F2"/>
            <w:vAlign w:val="center"/>
          </w:tcPr>
          <w:p>
            <w:pPr>
              <w:widowControl/>
              <w:spacing w:after="0" w:line="240" w:lineRule="auto"/>
              <w:jc w:val="center"/>
              <w:rPr>
                <w:rFonts w:ascii="华文宋体" w:hAnsi="华文宋体" w:eastAsia="华文宋体" w:cs="Times New Roman"/>
                <w:color w:val="000000"/>
                <w:kern w:val="0"/>
                <w:sz w:val="22"/>
              </w:rPr>
            </w:pPr>
            <w:r>
              <w:rPr>
                <w:rFonts w:ascii="华文宋体" w:hAnsi="华文宋体" w:eastAsia="华文宋体" w:cs="Times New Roman"/>
                <w:color w:val="000000"/>
                <w:kern w:val="0"/>
                <w:sz w:val="22"/>
              </w:rPr>
              <w:t>1-2</w:t>
            </w:r>
          </w:p>
        </w:tc>
        <w:tc>
          <w:tcPr>
            <w:tcW w:w="709" w:type="dxa"/>
            <w:tcBorders>
              <w:top w:val="nil"/>
              <w:left w:val="nil"/>
              <w:bottom w:val="single" w:color="auto" w:sz="4" w:space="0"/>
              <w:right w:val="single" w:color="auto" w:sz="8" w:space="0"/>
            </w:tcBorders>
            <w:shd w:val="clear" w:color="auto" w:fill="F1F1F1" w:themeFill="background1" w:themeFillShade="F2"/>
            <w:vAlign w:val="center"/>
          </w:tcPr>
          <w:p>
            <w:pPr>
              <w:widowControl/>
              <w:spacing w:after="0" w:line="240" w:lineRule="auto"/>
              <w:jc w:val="center"/>
              <w:rPr>
                <w:rFonts w:ascii="华文宋体" w:hAnsi="华文宋体" w:eastAsia="华文宋体" w:cs="Times New Roman"/>
                <w:color w:val="000000"/>
                <w:kern w:val="0"/>
                <w:sz w:val="22"/>
              </w:rPr>
            </w:pPr>
          </w:p>
        </w:tc>
        <w:tc>
          <w:tcPr>
            <w:tcW w:w="1112" w:type="dxa"/>
            <w:tcBorders>
              <w:top w:val="nil"/>
              <w:left w:val="nil"/>
              <w:bottom w:val="single" w:color="auto" w:sz="4" w:space="0"/>
              <w:right w:val="single" w:color="auto" w:sz="8" w:space="0"/>
            </w:tcBorders>
            <w:shd w:val="clear" w:color="auto" w:fill="F1F1F1" w:themeFill="background1" w:themeFillShade="F2"/>
            <w:vAlign w:val="center"/>
          </w:tcPr>
          <w:p>
            <w:pPr>
              <w:widowControl/>
              <w:spacing w:after="0" w:line="240" w:lineRule="auto"/>
              <w:jc w:val="center"/>
              <w:rPr>
                <w:rFonts w:ascii="华文宋体" w:hAnsi="华文宋体" w:eastAsia="华文宋体" w:cs="Times New Roman"/>
                <w:color w:val="000000"/>
                <w:kern w:val="0"/>
                <w:sz w:val="22"/>
              </w:rPr>
            </w:pPr>
          </w:p>
        </w:tc>
      </w:tr>
      <w:tr>
        <w:tblPrEx>
          <w:tblCellMar>
            <w:top w:w="0" w:type="dxa"/>
            <w:left w:w="108" w:type="dxa"/>
            <w:bottom w:w="0" w:type="dxa"/>
            <w:right w:w="108" w:type="dxa"/>
          </w:tblCellMar>
        </w:tblPrEx>
        <w:trPr>
          <w:trHeight w:val="20" w:hRule="atLeast"/>
          <w:jc w:val="center"/>
        </w:trPr>
        <w:tc>
          <w:tcPr>
            <w:tcW w:w="1571"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after="0" w:line="240" w:lineRule="auto"/>
              <w:jc w:val="center"/>
              <w:rPr>
                <w:rFonts w:ascii="华文宋体" w:hAnsi="华文宋体" w:eastAsia="华文宋体" w:cs="Times New Roman"/>
                <w:color w:val="000000"/>
                <w:kern w:val="0"/>
                <w:sz w:val="22"/>
              </w:rPr>
            </w:pPr>
            <w:r>
              <w:rPr>
                <w:rFonts w:ascii="华文宋体" w:hAnsi="华文宋体" w:eastAsia="华文宋体" w:cs="宋体"/>
                <w:color w:val="000000"/>
                <w:kern w:val="0"/>
                <w:sz w:val="22"/>
              </w:rPr>
              <w:t>实践</w:t>
            </w:r>
            <w:r>
              <w:rPr>
                <w:rFonts w:hint="eastAsia" w:ascii="华文宋体" w:hAnsi="华文宋体" w:eastAsia="华文宋体" w:cs="宋体"/>
                <w:color w:val="000000"/>
                <w:kern w:val="0"/>
                <w:sz w:val="22"/>
              </w:rPr>
              <w:t>模块</w:t>
            </w:r>
          </w:p>
        </w:tc>
        <w:tc>
          <w:tcPr>
            <w:tcW w:w="1276" w:type="dxa"/>
            <w:tcBorders>
              <w:top w:val="nil"/>
              <w:left w:val="nil"/>
              <w:bottom w:val="single" w:color="auto" w:sz="8" w:space="0"/>
              <w:right w:val="single" w:color="auto" w:sz="8" w:space="0"/>
            </w:tcBorders>
            <w:shd w:val="clear" w:color="auto" w:fill="auto"/>
            <w:vAlign w:val="center"/>
          </w:tcPr>
          <w:p>
            <w:pPr>
              <w:widowControl/>
              <w:spacing w:after="0" w:line="240" w:lineRule="auto"/>
              <w:jc w:val="center"/>
              <w:rPr>
                <w:rFonts w:ascii="华文宋体" w:hAnsi="华文宋体" w:eastAsia="华文宋体" w:cs="Times New Roman"/>
                <w:color w:val="000000"/>
                <w:kern w:val="0"/>
                <w:sz w:val="22"/>
              </w:rPr>
            </w:pPr>
            <w:r>
              <w:rPr>
                <w:rFonts w:ascii="华文宋体" w:hAnsi="华文宋体" w:eastAsia="华文宋体" w:cs="Times New Roman"/>
                <w:color w:val="000000"/>
                <w:kern w:val="0"/>
                <w:sz w:val="22"/>
              </w:rPr>
              <w:t>GCC</w:t>
            </w:r>
            <w:r>
              <w:rPr>
                <w:rFonts w:hint="eastAsia" w:ascii="华文宋体" w:hAnsi="华文宋体" w:eastAsia="华文宋体" w:cs="Times New Roman"/>
                <w:color w:val="000000"/>
                <w:kern w:val="0"/>
                <w:sz w:val="22"/>
              </w:rPr>
              <w:t>-4</w:t>
            </w:r>
            <w:r>
              <w:rPr>
                <w:rFonts w:ascii="华文宋体" w:hAnsi="华文宋体" w:eastAsia="华文宋体" w:cs="Times New Roman"/>
                <w:color w:val="000000"/>
                <w:kern w:val="0"/>
                <w:sz w:val="22"/>
              </w:rPr>
              <w:t>01</w:t>
            </w:r>
          </w:p>
        </w:tc>
        <w:tc>
          <w:tcPr>
            <w:tcW w:w="3827" w:type="dxa"/>
            <w:tcBorders>
              <w:top w:val="nil"/>
              <w:left w:val="nil"/>
              <w:bottom w:val="single" w:color="auto" w:sz="8" w:space="0"/>
              <w:right w:val="single" w:color="auto" w:sz="8" w:space="0"/>
            </w:tcBorders>
            <w:shd w:val="clear" w:color="auto" w:fill="auto"/>
            <w:vAlign w:val="center"/>
          </w:tcPr>
          <w:p>
            <w:pPr>
              <w:widowControl/>
              <w:spacing w:after="0" w:line="240" w:lineRule="auto"/>
              <w:jc w:val="center"/>
              <w:rPr>
                <w:rFonts w:ascii="华文宋体" w:hAnsi="华文宋体" w:eastAsia="华文宋体" w:cs="Times New Roman"/>
                <w:color w:val="000000"/>
                <w:kern w:val="0"/>
                <w:sz w:val="22"/>
              </w:rPr>
            </w:pPr>
            <w:r>
              <w:rPr>
                <w:rFonts w:hint="eastAsia" w:ascii="华文宋体" w:hAnsi="华文宋体" w:eastAsia="华文宋体" w:cs="宋体"/>
                <w:color w:val="000000"/>
                <w:kern w:val="0"/>
                <w:sz w:val="22"/>
              </w:rPr>
              <w:t>9项国内外</w:t>
            </w:r>
            <w:r>
              <w:rPr>
                <w:rFonts w:ascii="华文宋体" w:hAnsi="华文宋体" w:eastAsia="华文宋体" w:cs="宋体"/>
                <w:color w:val="000000"/>
                <w:kern w:val="0"/>
                <w:sz w:val="22"/>
              </w:rPr>
              <w:t>实践活动</w:t>
            </w:r>
            <w:r>
              <w:rPr>
                <w:rFonts w:hint="eastAsia" w:ascii="华文宋体" w:hAnsi="华文宋体" w:eastAsia="华文宋体" w:cs="宋体"/>
                <w:color w:val="000000"/>
                <w:kern w:val="0"/>
                <w:sz w:val="22"/>
              </w:rPr>
              <w:t>，活动详细方案商有关高校确定。</w:t>
            </w:r>
          </w:p>
        </w:tc>
        <w:tc>
          <w:tcPr>
            <w:tcW w:w="567" w:type="dxa"/>
            <w:tcBorders>
              <w:top w:val="nil"/>
              <w:left w:val="nil"/>
              <w:bottom w:val="single" w:color="auto" w:sz="8" w:space="0"/>
              <w:right w:val="single" w:color="auto" w:sz="4" w:space="0"/>
            </w:tcBorders>
            <w:shd w:val="clear" w:color="auto" w:fill="auto"/>
            <w:vAlign w:val="center"/>
          </w:tcPr>
          <w:p>
            <w:pPr>
              <w:widowControl/>
              <w:spacing w:after="0" w:line="240" w:lineRule="auto"/>
              <w:jc w:val="center"/>
              <w:rPr>
                <w:rFonts w:ascii="华文宋体" w:hAnsi="华文宋体" w:eastAsia="华文宋体" w:cs="Times New Roman"/>
                <w:color w:val="000000"/>
                <w:kern w:val="0"/>
                <w:sz w:val="22"/>
              </w:rPr>
            </w:pPr>
          </w:p>
        </w:tc>
        <w:tc>
          <w:tcPr>
            <w:tcW w:w="709" w:type="dxa"/>
            <w:tcBorders>
              <w:top w:val="nil"/>
              <w:left w:val="single" w:color="auto" w:sz="4" w:space="0"/>
              <w:bottom w:val="single" w:color="auto" w:sz="8" w:space="0"/>
              <w:right w:val="single" w:color="auto" w:sz="4" w:space="0"/>
            </w:tcBorders>
            <w:shd w:val="clear" w:color="auto" w:fill="auto"/>
            <w:vAlign w:val="center"/>
          </w:tcPr>
          <w:p>
            <w:pPr>
              <w:widowControl/>
              <w:spacing w:after="0" w:line="240" w:lineRule="auto"/>
              <w:jc w:val="center"/>
              <w:rPr>
                <w:rFonts w:ascii="华文宋体" w:hAnsi="华文宋体" w:eastAsia="华文宋体" w:cs="Times New Roman"/>
                <w:color w:val="000000"/>
                <w:kern w:val="0"/>
                <w:sz w:val="22"/>
              </w:rPr>
            </w:pPr>
            <w:r>
              <w:rPr>
                <w:rFonts w:ascii="华文宋体" w:hAnsi="华文宋体" w:eastAsia="华文宋体" w:cs="Times New Roman"/>
                <w:color w:val="000000"/>
                <w:kern w:val="0"/>
                <w:sz w:val="22"/>
              </w:rPr>
              <w:t>1</w:t>
            </w:r>
          </w:p>
        </w:tc>
        <w:tc>
          <w:tcPr>
            <w:tcW w:w="1112" w:type="dxa"/>
            <w:tcBorders>
              <w:top w:val="nil"/>
              <w:left w:val="single" w:color="auto" w:sz="4" w:space="0"/>
              <w:bottom w:val="single" w:color="auto" w:sz="8" w:space="0"/>
              <w:right w:val="single" w:color="auto" w:sz="4" w:space="0"/>
            </w:tcBorders>
            <w:shd w:val="clear" w:color="auto" w:fill="auto"/>
            <w:vAlign w:val="center"/>
          </w:tcPr>
          <w:p>
            <w:pPr>
              <w:widowControl/>
              <w:spacing w:after="0" w:line="240" w:lineRule="auto"/>
              <w:jc w:val="center"/>
              <w:rPr>
                <w:rFonts w:ascii="华文宋体" w:hAnsi="华文宋体" w:eastAsia="华文宋体" w:cs="Times New Roman"/>
                <w:color w:val="000000"/>
                <w:kern w:val="0"/>
                <w:sz w:val="22"/>
              </w:rPr>
            </w:pPr>
          </w:p>
        </w:tc>
      </w:tr>
      <w:tr>
        <w:tblPrEx>
          <w:tblCellMar>
            <w:top w:w="0" w:type="dxa"/>
            <w:left w:w="108" w:type="dxa"/>
            <w:bottom w:w="0" w:type="dxa"/>
            <w:right w:w="108" w:type="dxa"/>
          </w:tblCellMar>
        </w:tblPrEx>
        <w:trPr>
          <w:trHeight w:val="20" w:hRule="atLeast"/>
          <w:jc w:val="center"/>
        </w:trPr>
        <w:tc>
          <w:tcPr>
            <w:tcW w:w="9062" w:type="dxa"/>
            <w:gridSpan w:val="6"/>
            <w:tcBorders>
              <w:top w:val="single" w:color="auto" w:sz="4" w:space="0"/>
              <w:left w:val="single" w:color="auto" w:sz="8" w:space="0"/>
              <w:bottom w:val="single" w:color="000000" w:sz="8" w:space="0"/>
              <w:right w:val="single" w:color="auto" w:sz="8" w:space="0"/>
            </w:tcBorders>
            <w:vAlign w:val="center"/>
          </w:tcPr>
          <w:p>
            <w:pPr>
              <w:pStyle w:val="3"/>
              <w:adjustRightInd w:val="0"/>
              <w:snapToGrid w:val="0"/>
              <w:spacing w:before="120" w:beforeAutospacing="0" w:after="120" w:afterAutospacing="0" w:line="360" w:lineRule="atLeast"/>
              <w:ind w:firstLine="28" w:firstLineChars="12"/>
              <w:jc w:val="both"/>
              <w:rPr>
                <w:rFonts w:ascii="华文宋体" w:hAnsi="华文宋体" w:eastAsia="华文宋体" w:cs="宋体"/>
              </w:rPr>
            </w:pPr>
            <w:r>
              <w:rPr>
                <w:rFonts w:hint="eastAsia" w:ascii="华文宋体" w:hAnsi="华文宋体" w:eastAsia="华文宋体" w:cs="宋体"/>
              </w:rPr>
              <w:t>注：</w:t>
            </w:r>
            <w:r>
              <w:rPr>
                <w:rFonts w:ascii="华文宋体" w:hAnsi="华文宋体" w:eastAsia="华文宋体" w:cs="宋体"/>
              </w:rPr>
              <w:t xml:space="preserve"> </w:t>
            </w:r>
            <w:r>
              <w:rPr>
                <w:rFonts w:hint="eastAsia" w:ascii="华文宋体" w:hAnsi="华文宋体" w:eastAsia="华文宋体" w:cs="宋体"/>
              </w:rPr>
              <w:t>以上课程将结合项目实施院校开设课程做必要的调整。讲座题目亦可根据学生兴趣做相应调整。</w:t>
            </w:r>
          </w:p>
        </w:tc>
      </w:tr>
    </w:tbl>
    <w:p>
      <w:pPr>
        <w:pStyle w:val="2"/>
        <w:keepNext w:val="0"/>
        <w:keepLines w:val="0"/>
        <w:numPr>
          <w:ilvl w:val="0"/>
          <w:numId w:val="1"/>
        </w:numPr>
        <w:adjustRightInd w:val="0"/>
        <w:snapToGrid w:val="0"/>
        <w:spacing w:before="240" w:after="120" w:line="360" w:lineRule="atLeast"/>
        <w:ind w:left="0"/>
        <w:rPr>
          <w:rFonts w:ascii="Goudy Old Style" w:hAnsi="Goudy Old Style" w:cs="Times New Roman"/>
          <w:b/>
          <w:bCs/>
          <w:color w:val="auto"/>
          <w:szCs w:val="28"/>
        </w:rPr>
      </w:pPr>
      <w:r>
        <w:rPr>
          <w:rFonts w:hint="eastAsia" w:ascii="Goudy Old Style" w:hAnsi="Goudy Old Style" w:cs="Times New Roman"/>
          <w:b/>
          <w:bCs/>
          <w:color w:val="auto"/>
          <w:szCs w:val="28"/>
          <w:lang w:eastAsia="zh-Hans"/>
        </w:rPr>
        <w:t>实践活动</w:t>
      </w:r>
    </w:p>
    <w:p>
      <w:pPr>
        <w:pStyle w:val="3"/>
        <w:adjustRightInd w:val="0"/>
        <w:snapToGrid w:val="0"/>
        <w:spacing w:before="0" w:beforeAutospacing="0" w:after="120" w:afterAutospacing="0" w:line="360" w:lineRule="atLeast"/>
        <w:ind w:firstLine="480" w:firstLineChars="200"/>
        <w:jc w:val="both"/>
        <w:rPr>
          <w:rFonts w:ascii="华文宋体" w:hAnsi="华文宋体" w:eastAsia="华文宋体" w:cs="宋体"/>
        </w:rPr>
      </w:pPr>
      <w:r>
        <w:rPr>
          <w:rFonts w:hint="eastAsia" w:ascii="华文宋体" w:hAnsi="华文宋体" w:eastAsia="华文宋体" w:cs="宋体"/>
        </w:rPr>
        <w:t>实践活动是本项目培养方式的有机构成，</w:t>
      </w:r>
      <w:r>
        <w:rPr>
          <w:rFonts w:ascii="华文宋体" w:hAnsi="华文宋体" w:eastAsia="华文宋体" w:cs="宋体"/>
        </w:rPr>
        <w:t>与项目实施学校</w:t>
      </w:r>
      <w:r>
        <w:rPr>
          <w:rFonts w:hint="eastAsia" w:ascii="华文宋体" w:hAnsi="华文宋体" w:eastAsia="华文宋体" w:cs="宋体"/>
        </w:rPr>
        <w:t>合作开展</w:t>
      </w:r>
      <w:r>
        <w:rPr>
          <w:rFonts w:ascii="华文宋体" w:hAnsi="华文宋体" w:eastAsia="华文宋体" w:cs="宋体"/>
        </w:rPr>
        <w:t>。</w:t>
      </w:r>
    </w:p>
    <w:p>
      <w:pPr>
        <w:pStyle w:val="3"/>
        <w:adjustRightInd w:val="0"/>
        <w:snapToGrid w:val="0"/>
        <w:spacing w:before="0" w:beforeAutospacing="0" w:after="120" w:afterAutospacing="0" w:line="360" w:lineRule="atLeast"/>
        <w:ind w:firstLine="480" w:firstLineChars="200"/>
        <w:jc w:val="both"/>
        <w:rPr>
          <w:rFonts w:ascii="华文宋体" w:hAnsi="华文宋体" w:eastAsia="华文宋体" w:cs="宋体"/>
        </w:rPr>
      </w:pPr>
      <w:r>
        <w:rPr>
          <w:rFonts w:hint="eastAsia" w:ascii="华文宋体" w:hAnsi="华文宋体" w:eastAsia="华文宋体" w:cs="宋体"/>
        </w:rPr>
        <w:t>项目根据全球胜任力培养的需要，安排不同主题的学生短期实践活动，为学生创造走出校门参与实践和实训的机会，帮助学生在实践活动中提升职业竞争力，在国际环境中提升全球胜任力。“工作坊”也是项目实践活动的特色内容</w:t>
      </w:r>
      <w:r>
        <w:rPr>
          <w:rFonts w:hint="eastAsia" w:ascii="华文宋体" w:hAnsi="华文宋体" w:eastAsia="华文宋体" w:cs="宋体"/>
          <w:lang w:eastAsia="zh-CN"/>
        </w:rPr>
        <w:t>，</w:t>
      </w:r>
      <w:r>
        <w:rPr>
          <w:rFonts w:hint="eastAsia" w:ascii="华文宋体" w:hAnsi="华文宋体" w:eastAsia="华文宋体" w:cs="宋体"/>
        </w:rPr>
        <w:t>通过学术研讨、专题讲座、职场沙龙、互动游戏、艺术赏鉴等互动性较强的方式，力求营造多元文化的环境，为学习者提供独特的全球胜任力提升训练。同时，通过本项目建立的海外实习实训平台</w:t>
      </w:r>
      <w:r>
        <w:rPr>
          <w:rFonts w:hint="eastAsia" w:ascii="华文宋体" w:hAnsi="华文宋体" w:eastAsia="华文宋体" w:cs="宋体"/>
          <w:lang w:eastAsia="zh-CN"/>
        </w:rPr>
        <w:t>、</w:t>
      </w:r>
      <w:r>
        <w:rPr>
          <w:rFonts w:hint="eastAsia" w:ascii="华文宋体" w:hAnsi="华文宋体" w:eastAsia="华文宋体" w:cs="宋体"/>
        </w:rPr>
        <w:t>实践活动为学习者提供了真实的国际交流情境，在多元文化场景和交流中开拓国际视野，提升跨文化沟通能力。</w:t>
      </w:r>
    </w:p>
    <w:p>
      <w:pPr>
        <w:pStyle w:val="3"/>
        <w:adjustRightInd w:val="0"/>
        <w:snapToGrid w:val="0"/>
        <w:spacing w:before="0" w:beforeAutospacing="0" w:after="120" w:afterAutospacing="0" w:line="360" w:lineRule="atLeast"/>
        <w:ind w:firstLine="480" w:firstLineChars="200"/>
        <w:jc w:val="both"/>
        <w:rPr>
          <w:rFonts w:ascii="华文宋体" w:hAnsi="华文宋体" w:eastAsia="华文宋体" w:cs="宋体"/>
        </w:rPr>
      </w:pPr>
      <w:r>
        <w:rPr>
          <w:rFonts w:hint="eastAsia" w:ascii="华文宋体" w:hAnsi="华文宋体" w:eastAsia="华文宋体" w:cs="宋体"/>
        </w:rPr>
        <w:t>实践活动的主题包括（不限于）：以国际组织与国际机构人才培养为目标的培训活动和实习推荐；以大型国企和跨国企业实习为主要内容的国际化企业体验活动；以国际名校研修为主要内容的国际学术研究能力提升活动；以提升思辨能力为主要内容的小型辩论竞赛活动；以开拓国际视野为目的的国际文化体验与研究活动；以提升跨文化传播能力为目标的学生研讨活动等。</w:t>
      </w:r>
    </w:p>
    <w:p>
      <w:pPr>
        <w:pStyle w:val="3"/>
        <w:adjustRightInd w:val="0"/>
        <w:snapToGrid w:val="0"/>
        <w:spacing w:before="0" w:beforeAutospacing="0" w:after="120" w:afterAutospacing="0" w:line="360" w:lineRule="atLeast"/>
        <w:ind w:firstLine="480" w:firstLineChars="200"/>
        <w:jc w:val="both"/>
        <w:rPr>
          <w:rFonts w:ascii="华文宋体" w:hAnsi="华文宋体" w:eastAsia="华文宋体" w:cs="宋体"/>
        </w:rPr>
      </w:pPr>
      <w:r>
        <w:rPr>
          <w:rFonts w:hint="eastAsia" w:ascii="华文宋体" w:hAnsi="华文宋体" w:eastAsia="华文宋体" w:cs="宋体"/>
        </w:rPr>
        <w:t>实践活动将结合项目实施院系的实际需求，针对不同学生群体进行定制化设计，以最大限度地实现项目实施与学习者需求的有效对接。</w:t>
      </w:r>
    </w:p>
    <w:p>
      <w:pPr>
        <w:pStyle w:val="2"/>
        <w:keepNext w:val="0"/>
        <w:keepLines w:val="0"/>
        <w:numPr>
          <w:ilvl w:val="0"/>
          <w:numId w:val="1"/>
        </w:numPr>
        <w:adjustRightInd w:val="0"/>
        <w:snapToGrid w:val="0"/>
        <w:spacing w:before="240" w:after="120" w:line="360" w:lineRule="atLeast"/>
        <w:ind w:left="0"/>
        <w:rPr>
          <w:rFonts w:ascii="Goudy Old Style" w:hAnsi="Goudy Old Style" w:cs="Times New Roman"/>
          <w:b/>
          <w:bCs/>
          <w:color w:val="auto"/>
          <w:szCs w:val="28"/>
        </w:rPr>
      </w:pPr>
      <w:r>
        <w:rPr>
          <w:rFonts w:ascii="Goudy Old Style" w:hAnsi="Goudy Old Style" w:cs="Times New Roman"/>
          <w:b/>
          <w:bCs/>
          <w:color w:val="auto"/>
          <w:szCs w:val="28"/>
        </w:rPr>
        <w:t>考核与证书</w:t>
      </w:r>
    </w:p>
    <w:p>
      <w:pPr>
        <w:pStyle w:val="3"/>
        <w:numPr>
          <w:ilvl w:val="0"/>
          <w:numId w:val="0"/>
        </w:numPr>
        <w:adjustRightInd w:val="0"/>
        <w:snapToGrid w:val="0"/>
        <w:spacing w:before="0" w:beforeAutospacing="0" w:after="120" w:afterAutospacing="0" w:line="360" w:lineRule="atLeast"/>
        <w:ind w:left="567" w:leftChars="0"/>
        <w:jc w:val="both"/>
        <w:rPr>
          <w:rFonts w:ascii="华文宋体" w:hAnsi="华文宋体" w:eastAsia="华文宋体" w:cs="宋体"/>
          <w:b/>
          <w:bCs/>
        </w:rPr>
      </w:pPr>
      <w:r>
        <w:rPr>
          <w:rFonts w:hint="eastAsia" w:ascii="华文宋体" w:hAnsi="华文宋体" w:eastAsia="华文宋体" w:cs="宋体"/>
          <w:b/>
          <w:bCs/>
          <w:lang w:val="en-US" w:eastAsia="zh-CN"/>
        </w:rPr>
        <w:t>1.</w:t>
      </w:r>
      <w:r>
        <w:rPr>
          <w:rFonts w:ascii="华文宋体" w:hAnsi="华文宋体" w:eastAsia="华文宋体" w:cs="宋体"/>
          <w:b/>
          <w:bCs/>
        </w:rPr>
        <w:t>考核</w:t>
      </w:r>
    </w:p>
    <w:p>
      <w:pPr>
        <w:pStyle w:val="3"/>
        <w:adjustRightInd w:val="0"/>
        <w:snapToGrid w:val="0"/>
        <w:spacing w:before="0" w:beforeAutospacing="0" w:after="120" w:afterAutospacing="0" w:line="360" w:lineRule="atLeast"/>
        <w:ind w:firstLine="566" w:firstLineChars="236"/>
        <w:rPr>
          <w:rFonts w:ascii="华文宋体" w:hAnsi="华文宋体" w:eastAsia="华文宋体" w:cs="宋体"/>
        </w:rPr>
      </w:pPr>
      <w:r>
        <w:rPr>
          <w:rFonts w:ascii="华文宋体" w:hAnsi="华文宋体" w:eastAsia="华文宋体" w:cs="宋体"/>
        </w:rPr>
        <w:t>课程考核方式主要为学生选读课程的修读课时、作业完成情况</w:t>
      </w:r>
      <w:r>
        <w:rPr>
          <w:rFonts w:hint="eastAsia" w:ascii="华文宋体" w:hAnsi="华文宋体" w:eastAsia="华文宋体" w:cs="宋体"/>
        </w:rPr>
        <w:t>、</w:t>
      </w:r>
      <w:r>
        <w:rPr>
          <w:rFonts w:ascii="华文宋体" w:hAnsi="华文宋体" w:eastAsia="华文宋体" w:cs="宋体"/>
        </w:rPr>
        <w:t>参与讨论</w:t>
      </w:r>
      <w:r>
        <w:rPr>
          <w:rFonts w:hint="eastAsia" w:ascii="华文宋体" w:hAnsi="华文宋体" w:eastAsia="华文宋体" w:cs="宋体"/>
        </w:rPr>
        <w:t>情况、</w:t>
      </w:r>
      <w:r>
        <w:rPr>
          <w:rFonts w:ascii="华文宋体" w:hAnsi="华文宋体" w:eastAsia="华文宋体" w:cs="宋体"/>
        </w:rPr>
        <w:t>论文撰写情况</w:t>
      </w:r>
      <w:r>
        <w:rPr>
          <w:rFonts w:hint="eastAsia" w:ascii="华文宋体" w:hAnsi="华文宋体" w:eastAsia="华文宋体" w:cs="宋体"/>
        </w:rPr>
        <w:t>和参与实践活动情况</w:t>
      </w:r>
      <w:r>
        <w:rPr>
          <w:rFonts w:ascii="华文宋体" w:hAnsi="华文宋体" w:eastAsia="华文宋体" w:cs="宋体"/>
        </w:rPr>
        <w:t>。总评60分以上为合格。</w:t>
      </w:r>
    </w:p>
    <w:p>
      <w:pPr>
        <w:pStyle w:val="3"/>
        <w:numPr>
          <w:ilvl w:val="0"/>
          <w:numId w:val="0"/>
        </w:numPr>
        <w:adjustRightInd w:val="0"/>
        <w:snapToGrid w:val="0"/>
        <w:spacing w:before="0" w:beforeAutospacing="0" w:after="120" w:afterAutospacing="0" w:line="360" w:lineRule="atLeast"/>
        <w:ind w:left="567" w:leftChars="0"/>
        <w:jc w:val="both"/>
        <w:rPr>
          <w:rFonts w:ascii="华文宋体" w:hAnsi="华文宋体" w:eastAsia="华文宋体" w:cs="宋体"/>
          <w:b/>
          <w:bCs/>
        </w:rPr>
      </w:pPr>
      <w:r>
        <w:rPr>
          <w:rFonts w:hint="eastAsia" w:ascii="华文宋体" w:hAnsi="华文宋体" w:eastAsia="华文宋体" w:cs="宋体"/>
          <w:b/>
          <w:bCs/>
          <w:lang w:val="en-US" w:eastAsia="zh-CN"/>
        </w:rPr>
        <w:t>2.</w:t>
      </w:r>
      <w:r>
        <w:rPr>
          <w:rFonts w:ascii="华文宋体" w:hAnsi="华文宋体" w:eastAsia="华文宋体" w:cs="宋体"/>
          <w:b/>
          <w:bCs/>
        </w:rPr>
        <w:t>证书</w:t>
      </w:r>
    </w:p>
    <w:p>
      <w:pPr>
        <w:pStyle w:val="3"/>
        <w:adjustRightInd w:val="0"/>
        <w:snapToGrid w:val="0"/>
        <w:spacing w:before="0" w:beforeAutospacing="0" w:after="120" w:afterAutospacing="0" w:line="360" w:lineRule="atLeast"/>
        <w:ind w:firstLine="566" w:firstLineChars="236"/>
        <w:rPr>
          <w:rFonts w:ascii="华文宋体" w:hAnsi="华文宋体" w:eastAsia="华文宋体" w:cs="宋体"/>
        </w:rPr>
      </w:pPr>
      <w:r>
        <w:rPr>
          <w:rFonts w:ascii="华文宋体" w:hAnsi="华文宋体" w:eastAsia="华文宋体" w:cs="宋体"/>
        </w:rPr>
        <w:t>每模块修读1门课程且合格的学生，可获颁项目结业证书</w:t>
      </w:r>
      <w:r>
        <w:rPr>
          <w:rFonts w:hint="eastAsia" w:ascii="华文宋体" w:hAnsi="华文宋体" w:eastAsia="华文宋体" w:cs="宋体"/>
        </w:rPr>
        <w:t>（</w:t>
      </w:r>
      <w:r>
        <w:rPr>
          <w:rFonts w:ascii="华文宋体" w:hAnsi="华文宋体" w:eastAsia="华文宋体" w:cs="宋体"/>
        </w:rPr>
        <w:t>注明所修课程</w:t>
      </w:r>
      <w:r>
        <w:rPr>
          <w:rFonts w:hint="eastAsia" w:ascii="华文宋体" w:hAnsi="华文宋体" w:eastAsia="华文宋体" w:cs="宋体"/>
        </w:rPr>
        <w:t>）</w:t>
      </w:r>
      <w:r>
        <w:rPr>
          <w:rFonts w:ascii="华文宋体" w:hAnsi="华文宋体" w:eastAsia="华文宋体" w:cs="宋体"/>
        </w:rPr>
        <w:t>。</w:t>
      </w:r>
      <w:r>
        <w:rPr>
          <w:rFonts w:hint="eastAsia" w:ascii="华文宋体" w:hAnsi="华文宋体" w:eastAsia="华文宋体" w:cs="宋体"/>
          <w:lang w:eastAsia="zh-Hans"/>
        </w:rPr>
        <w:t>参加实践活动的学生另可获得与有关活动国内外合作机构联合颁发的相关证书</w:t>
      </w:r>
      <w:r>
        <w:rPr>
          <w:rFonts w:ascii="华文宋体" w:hAnsi="华文宋体" w:eastAsia="华文宋体" w:cs="宋体"/>
          <w:lang w:eastAsia="zh-Hans"/>
        </w:rPr>
        <w:t>。</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
    <w:altName w:val="楷体_GB2312"/>
    <w:panose1 w:val="02010609060101010101"/>
    <w:charset w:val="86"/>
    <w:family w:val="modern"/>
    <w:pitch w:val="default"/>
    <w:sig w:usb0="00000000" w:usb1="00000000"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Goudy Old Style">
    <w:panose1 w:val="02020502050305020303"/>
    <w:charset w:val="00"/>
    <w:family w:val="roman"/>
    <w:pitch w:val="default"/>
    <w:sig w:usb0="00000003" w:usb1="00000000" w:usb2="00000000" w:usb3="00000000" w:csb0="20000001" w:csb1="00000000"/>
  </w:font>
  <w:font w:name="仿宋">
    <w:altName w:val="Arial Unicode MS"/>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AFA9C2"/>
    <w:multiLevelType w:val="singleLevel"/>
    <w:tmpl w:val="5EAFA9C2"/>
    <w:lvl w:ilvl="0" w:tentative="0">
      <w:start w:val="1"/>
      <w:numFmt w:val="chineseCounting"/>
      <w:suff w:val="nothing"/>
      <w:lvlText w:val="%1、"/>
      <w:lvlJc w:val="left"/>
      <w:pPr>
        <w:ind w:left="56"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C66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9"/>
    <w:pPr>
      <w:keepNext/>
      <w:keepLines/>
      <w:spacing w:after="149" w:line="256" w:lineRule="auto"/>
      <w:ind w:left="10" w:hanging="10"/>
      <w:outlineLvl w:val="0"/>
    </w:pPr>
    <w:rPr>
      <w:rFonts w:ascii="楷体" w:hAnsi="楷体" w:eastAsia="楷体" w:cs="楷体"/>
      <w:color w:val="000000"/>
      <w:sz w:val="28"/>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line="240" w:lineRule="auto"/>
      <w:jc w:val="left"/>
    </w:pPr>
    <w:rPr>
      <w:rFonts w:ascii="Arial Unicode MS" w:hAnsi="Arial Unicode MS" w:eastAsia="Times New Roman" w:cs="Times New Roman"/>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2021-10-30T04:51:28Z</dcterms:created>
  <dc:creator>hj</dc:creator>
  <cp:lastModifiedBy>hj</cp:lastModifiedBy>
  <dcterms:modified xsi:type="dcterms:W3CDTF">2021-10-30T04:52:21Z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7C1B6A9AAACB47A485E425589C14A3AC</vt:lpwstr>
  </property>
</Properties>
</file>