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8416" w:type="dxa"/>
        <w:tblInd w:w="-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5440"/>
        <w:gridCol w:w="975"/>
        <w:gridCol w:w="9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4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 w:firstLine="2249" w:firstLineChars="70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高校英语教师专业能力提升项目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培训主题</w:t>
            </w: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jc w:val="center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  <w:lang w:eastAsia="zh-CN"/>
              </w:rPr>
              <w:t>专业英语教学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与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  <w:lang w:eastAsia="zh-CN"/>
              </w:rPr>
              <w:t>学术指导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jc w:val="center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学时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jc w:val="left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cs="Tahoma"/>
                <w:b/>
                <w:bCs/>
                <w:color w:val="333333"/>
                <w:kern w:val="0"/>
                <w:sz w:val="24"/>
              </w:rPr>
              <w:t>4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  <w:lang w:eastAsia="zh-CN"/>
              </w:rPr>
              <w:t>学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培训时间</w:t>
            </w: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jc w:val="center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内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容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jc w:val="center"/>
              <w:textAlignment w:val="auto"/>
              <w:rPr>
                <w:rFonts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形式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jc w:val="left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第一天</w:t>
            </w: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开班仪式及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  <w:lang w:eastAsia="zh-CN"/>
              </w:rPr>
              <w:t>破冰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</w:pPr>
            <w:r>
              <w:rPr>
                <w:rFonts w:hint="eastAsia"/>
                <w:sz w:val="24"/>
                <w:szCs w:val="22"/>
              </w:rPr>
              <w:t>30分钟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</w:pPr>
          </w:p>
        </w:tc>
        <w:tc>
          <w:tcPr>
            <w:tcW w:w="5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课程设置、制度与教学内容衔接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  <w:lang w:eastAsia="zh-CN"/>
              </w:rPr>
              <w:t>通过多种案例，学习针对不同专业内容的课程设置并实践</w:t>
            </w:r>
            <w:r>
              <w:rPr>
                <w:rFonts w:hint="eastAsia" w:cs="Tahoma"/>
                <w:b/>
                <w:bCs/>
                <w:color w:val="333333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讲师（拟）：</w:t>
            </w:r>
            <w:r>
              <w:rPr>
                <w:rFonts w:hint="eastAsia" w:ascii="宋体" w:hAnsi="宋体" w:eastAsia="宋体"/>
                <w:sz w:val="22"/>
                <w:szCs w:val="21"/>
              </w:rPr>
              <w:t>Goertzen</w:t>
            </w:r>
            <w:r>
              <w:rPr>
                <w:rFonts w:hint="eastAsia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爱丁堡大学应用语言学博士,专业领域是在线教育、</w:t>
            </w:r>
            <w:r>
              <w:rPr>
                <w:rFonts w:hint="eastAsia"/>
                <w:sz w:val="22"/>
                <w:szCs w:val="22"/>
                <w:lang w:eastAsia="zh-CN"/>
              </w:rPr>
              <w:t>师资培训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和教育领导力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设计课程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firstLine="240" w:firstLineChars="10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  <w:lang w:eastAsia="zh-CN"/>
              </w:rPr>
              <w:t>以小组的方式进行课程设置实践，由老师带领并提供反馈。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讨论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第二天</w:t>
            </w: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对话互动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30分钟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如何编写有效的课程大纲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以案例的方式讲解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创建有效教学大纲的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具体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步骤。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讲师（拟）：</w:t>
            </w:r>
            <w:r>
              <w:rPr>
                <w:rFonts w:hint="eastAsia" w:ascii="宋体" w:hAnsi="宋体" w:eastAsia="宋体"/>
                <w:sz w:val="22"/>
                <w:szCs w:val="21"/>
              </w:rPr>
              <w:t>Goertzen</w:t>
            </w:r>
            <w:r>
              <w:rPr>
                <w:rFonts w:hint="eastAsia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爱丁堡大学应用语言学博士,专业领域是在线教育、</w:t>
            </w:r>
            <w:r>
              <w:rPr>
                <w:rFonts w:hint="eastAsia"/>
                <w:sz w:val="22"/>
                <w:szCs w:val="22"/>
                <w:lang w:eastAsia="zh-CN"/>
              </w:rPr>
              <w:t>师资培训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和教育领导力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讲座、案例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设计教学大纲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以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小组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的方式，讨论各种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教学大纲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，识别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教学大纲关键部分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，并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创建教学大纲。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讲座、讨论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第三天</w:t>
            </w: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对话互动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30分钟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跨文化交际与英语课堂教学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介绍课堂文化的概念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，学习创建课堂小组，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如何使用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正向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反馈和纠正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性反馈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鼓励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学生参与课堂。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讲师（拟）：Lindsay，专业领域是社会语言学、人类学和第二语言习得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讲座、案例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课堂教学与学习动机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eastAsia="宋体" w:cs="Tahoma"/>
                <w:b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讨论如何提高学生的积极性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，通过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案例讨论如何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有效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将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在课堂中融入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文化和沟通技巧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讲座、讨论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第四天</w:t>
            </w: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对话互动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30分钟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专业英语实践教学模式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如何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针对专业领域设计教案；从以下范围中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选择</w:t>
            </w:r>
            <w:r>
              <w:rPr>
                <w:rFonts w:hint="eastAsia" w:cs="Tahoma"/>
                <w:color w:val="33333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个领域实践设计教案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听力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词汇技巧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阅读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写作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课本剧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酒店英语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商务英语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航空英语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420" w:leftChars="0" w:hanging="420" w:firstLineChars="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医学英语</w:t>
            </w:r>
            <w:r>
              <w:rPr>
                <w:rFonts w:hint="eastAsia" w:cs="Tahoma"/>
                <w:color w:val="333333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Chars="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讲师（拟）：Zuidhof，专业领域是教师培训、语言评估和教材开发。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讲座、案例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0" w:leftChars="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教学要点与应用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eastAsia="宋体" w:cs="Tahom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反思、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讨论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教案设计；布置课后任务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案例、讨论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第五天</w:t>
            </w: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对话互动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30分钟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线上微教学与科技辅助教学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如何将科技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融入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课程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设计，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利用新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科技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技术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的优缺点。</w:t>
            </w:r>
            <w:r>
              <w:rPr>
                <w:rFonts w:hint="eastAsia" w:cs="Tahoma"/>
                <w:color w:val="333333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讲师（拟）：Zuidhof，专业领域是教师培训、语言评估和教材开发。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讲座、案例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5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与外方教师合作微教学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案例、讨论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第六天</w:t>
            </w:r>
          </w:p>
        </w:tc>
        <w:tc>
          <w:tcPr>
            <w:tcW w:w="5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对话互动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30分钟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学术研究与论文写作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讨论英语语言教学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和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专门用途英语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领域最新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研究课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题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及如何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撰写</w:t>
            </w:r>
            <w:r>
              <w:rPr>
                <w:rFonts w:hint="eastAsia" w:cs="Tahoma"/>
                <w:color w:val="333333"/>
                <w:kern w:val="0"/>
                <w:sz w:val="24"/>
                <w:lang w:eastAsia="zh-CN"/>
              </w:rPr>
              <w:t>学术</w:t>
            </w:r>
            <w:r>
              <w:rPr>
                <w:rFonts w:hint="eastAsia" w:cs="Tahoma"/>
                <w:color w:val="333333"/>
                <w:kern w:val="0"/>
                <w:sz w:val="24"/>
              </w:rPr>
              <w:t>论文。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讲师（拟）：Mclntyre，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专业领域为英语教师专业发展，教学</w:t>
            </w:r>
            <w:r>
              <w:rPr>
                <w:rFonts w:hint="eastAsia"/>
                <w:sz w:val="22"/>
                <w:szCs w:val="21"/>
                <w:lang w:eastAsia="zh-CN"/>
              </w:rPr>
              <w:t>方法论、英语音韵学和英语口语技巧。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讲座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  <w:t>研究与应用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  <w:lang w:eastAsia="zh-CN"/>
              </w:rPr>
              <w:t>以</w:t>
            </w:r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</w:rPr>
              <w:t>小组</w:t>
            </w:r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  <w:lang w:eastAsia="zh-CN"/>
              </w:rPr>
              <w:t>的方式</w:t>
            </w:r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</w:rPr>
              <w:t>完成</w:t>
            </w:r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cs="Tahoma"/>
                <w:b w:val="0"/>
                <w:bCs w:val="0"/>
                <w:color w:val="333333"/>
                <w:kern w:val="0"/>
                <w:sz w:val="24"/>
              </w:rPr>
              <w:t>任务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案例、讨论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2学时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jc w:val="center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5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  <w:r>
              <w:rPr>
                <w:rFonts w:hint="eastAsia" w:cs="Tahoma"/>
                <w:color w:val="333333"/>
                <w:kern w:val="0"/>
                <w:sz w:val="24"/>
              </w:rPr>
              <w:t>结课仪式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80" w:lineRule="exact"/>
              <w:ind w:left="130" w:leftChars="50"/>
              <w:textAlignment w:val="auto"/>
              <w:rPr>
                <w:rFonts w:hint="eastAsia" w:cs="Tahoma"/>
                <w:color w:val="333333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0" w:leftChars="50"/>
              <w:jc w:val="left"/>
              <w:textAlignment w:val="auto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AEFCD7"/>
    <w:multiLevelType w:val="singleLevel"/>
    <w:tmpl w:val="DBAEFCD7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A5E7E"/>
    <w:rsid w:val="0D0A5E7E"/>
    <w:rsid w:val="1F5B69F4"/>
    <w:rsid w:val="3275464E"/>
    <w:rsid w:val="4D61292C"/>
    <w:rsid w:val="77692570"/>
    <w:rsid w:val="79E4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2022-06-06T08:25:00Z</dcterms:created>
  <dc:creator>孟娣</dc:creator>
  <cp:lastModifiedBy>孟娣</cp:lastModifiedBy>
  <dcterms:modified xsi:type="dcterms:W3CDTF">2022-06-08T08:43:41Z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